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drawings/drawing1.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67CD" w:rsidRPr="009D5E02" w:rsidRDefault="008A1C16" w:rsidP="00667F10">
      <w:pPr>
        <w:spacing w:after="0"/>
        <w:jc w:val="center"/>
        <w:rPr>
          <w:rFonts w:ascii="Times New Roman" w:hAnsi="Times New Roman" w:cs="Times New Roman"/>
          <w:b/>
          <w:sz w:val="28"/>
          <w:szCs w:val="28"/>
        </w:rPr>
      </w:pPr>
      <w:r w:rsidRPr="009D5E02">
        <w:rPr>
          <w:rFonts w:ascii="Times New Roman" w:hAnsi="Times New Roman" w:cs="Times New Roman"/>
          <w:b/>
          <w:sz w:val="28"/>
          <w:szCs w:val="28"/>
        </w:rPr>
        <w:t xml:space="preserve">NOMBRE </w:t>
      </w:r>
      <w:r w:rsidR="00346C3F" w:rsidRPr="009D5E02">
        <w:rPr>
          <w:rFonts w:ascii="Times New Roman" w:hAnsi="Times New Roman" w:cs="Times New Roman"/>
          <w:b/>
          <w:sz w:val="28"/>
          <w:szCs w:val="28"/>
        </w:rPr>
        <w:t>DE</w:t>
      </w:r>
      <w:r w:rsidR="00346C3F">
        <w:rPr>
          <w:rFonts w:ascii="Times New Roman" w:hAnsi="Times New Roman" w:cs="Times New Roman"/>
          <w:b/>
          <w:sz w:val="28"/>
          <w:szCs w:val="28"/>
        </w:rPr>
        <w:t xml:space="preserve">L </w:t>
      </w:r>
      <w:r w:rsidR="00346C3F" w:rsidRPr="009D5E02">
        <w:rPr>
          <w:rFonts w:ascii="Times New Roman" w:hAnsi="Times New Roman" w:cs="Times New Roman"/>
          <w:b/>
          <w:sz w:val="28"/>
          <w:szCs w:val="28"/>
        </w:rPr>
        <w:t>SUB</w:t>
      </w:r>
      <w:r w:rsidRPr="009D5E02">
        <w:rPr>
          <w:rFonts w:ascii="Times New Roman" w:hAnsi="Times New Roman" w:cs="Times New Roman"/>
          <w:b/>
          <w:sz w:val="28"/>
          <w:szCs w:val="28"/>
        </w:rPr>
        <w:t>-EVENTO</w:t>
      </w:r>
    </w:p>
    <w:p w:rsidR="00554F5A" w:rsidRPr="009A504C" w:rsidRDefault="00554F5A" w:rsidP="00554F5A">
      <w:pPr>
        <w:spacing w:after="0"/>
        <w:jc w:val="center"/>
        <w:rPr>
          <w:rFonts w:ascii="Times New Roman" w:hAnsi="Times New Roman"/>
          <w:b/>
          <w:sz w:val="28"/>
          <w:szCs w:val="28"/>
        </w:rPr>
      </w:pPr>
      <w:r>
        <w:rPr>
          <w:rFonts w:ascii="Times New Roman" w:hAnsi="Times New Roman"/>
          <w:b/>
          <w:sz w:val="28"/>
          <w:szCs w:val="28"/>
        </w:rPr>
        <w:t>IX</w:t>
      </w:r>
      <w:r w:rsidRPr="009A504C">
        <w:rPr>
          <w:rFonts w:ascii="Times New Roman" w:hAnsi="Times New Roman"/>
          <w:b/>
          <w:sz w:val="28"/>
          <w:szCs w:val="28"/>
        </w:rPr>
        <w:t xml:space="preserve"> EDICIÓN DE LA CONFERENCIA CIENTÍFICA INTERNACIONAL SOBRE DESARROLLO AGROPECUARIO Y SOSTENIBILIDAD. AGROCENTRO 2019</w:t>
      </w:r>
    </w:p>
    <w:p w:rsidR="008A1C16" w:rsidRPr="009D5E02" w:rsidRDefault="00554F5A" w:rsidP="00554F5A">
      <w:pPr>
        <w:spacing w:after="0"/>
        <w:jc w:val="center"/>
        <w:rPr>
          <w:rFonts w:ascii="Times New Roman" w:hAnsi="Times New Roman" w:cs="Times New Roman"/>
          <w:b/>
          <w:sz w:val="28"/>
          <w:szCs w:val="28"/>
        </w:rPr>
      </w:pPr>
      <w:r w:rsidRPr="009A504C">
        <w:rPr>
          <w:rFonts w:ascii="Times New Roman" w:hAnsi="Times New Roman"/>
          <w:b/>
          <w:sz w:val="28"/>
          <w:szCs w:val="28"/>
        </w:rPr>
        <w:t>XV SIMPOSIO SANIDAD VEGETAL</w:t>
      </w:r>
      <w:r w:rsidRPr="009D5E02">
        <w:rPr>
          <w:rFonts w:ascii="Times New Roman" w:hAnsi="Times New Roman" w:cs="Times New Roman"/>
          <w:b/>
          <w:sz w:val="28"/>
          <w:szCs w:val="28"/>
        </w:rPr>
        <w:t xml:space="preserve"> </w:t>
      </w:r>
      <w:r w:rsidR="008A1C16" w:rsidRPr="009D5E02">
        <w:rPr>
          <w:rFonts w:ascii="Times New Roman" w:hAnsi="Times New Roman" w:cs="Times New Roman"/>
          <w:b/>
          <w:sz w:val="28"/>
          <w:szCs w:val="28"/>
        </w:rPr>
        <w:t>Título</w:t>
      </w:r>
    </w:p>
    <w:p w:rsidR="00BA5839" w:rsidRDefault="00BA5839" w:rsidP="00346C3F">
      <w:pPr>
        <w:spacing w:after="0"/>
        <w:jc w:val="center"/>
        <w:rPr>
          <w:rFonts w:ascii="Times New Roman" w:hAnsi="Times New Roman"/>
          <w:b/>
          <w:sz w:val="28"/>
          <w:szCs w:val="28"/>
        </w:rPr>
      </w:pPr>
      <w:r w:rsidRPr="00BA5839">
        <w:rPr>
          <w:rFonts w:ascii="Times New Roman" w:hAnsi="Times New Roman"/>
          <w:b/>
          <w:sz w:val="28"/>
          <w:szCs w:val="28"/>
        </w:rPr>
        <w:t>PLANTAS ARVENSES PRESENTES EN EL CULTIVO DEL FRIJOL COMÚN (PHASEOLUS VULGARIS L.) EN ÉPOCA DE SIEMBRA INTERMEDIA Y SU INFLUENCIA EN EL RENDIMIENTO AGRÍCOLA</w:t>
      </w:r>
      <w:r>
        <w:rPr>
          <w:rFonts w:ascii="Times New Roman" w:hAnsi="Times New Roman"/>
          <w:b/>
          <w:sz w:val="28"/>
          <w:szCs w:val="28"/>
        </w:rPr>
        <w:t>.</w:t>
      </w:r>
      <w:r w:rsidRPr="00BA5839">
        <w:rPr>
          <w:rFonts w:ascii="Times New Roman" w:hAnsi="Times New Roman"/>
          <w:b/>
          <w:sz w:val="28"/>
          <w:szCs w:val="28"/>
        </w:rPr>
        <w:t xml:space="preserve"> </w:t>
      </w:r>
    </w:p>
    <w:p w:rsidR="00346C3F" w:rsidRPr="00BA5839" w:rsidRDefault="00346C3F" w:rsidP="00346C3F">
      <w:pPr>
        <w:spacing w:after="0"/>
        <w:jc w:val="center"/>
        <w:rPr>
          <w:rFonts w:ascii="Times New Roman" w:hAnsi="Times New Roman"/>
          <w:b/>
          <w:i/>
          <w:sz w:val="28"/>
          <w:szCs w:val="28"/>
          <w:lang w:val="en-US"/>
        </w:rPr>
      </w:pPr>
      <w:r w:rsidRPr="00BA5839">
        <w:rPr>
          <w:rFonts w:ascii="Times New Roman" w:hAnsi="Times New Roman"/>
          <w:b/>
          <w:i/>
          <w:sz w:val="28"/>
          <w:szCs w:val="28"/>
          <w:lang w:val="en-US"/>
        </w:rPr>
        <w:t>Title</w:t>
      </w:r>
    </w:p>
    <w:p w:rsidR="002E0882" w:rsidRPr="004C5BBC" w:rsidRDefault="00BA5839" w:rsidP="00BA5839">
      <w:pPr>
        <w:spacing w:after="0" w:line="360" w:lineRule="auto"/>
        <w:jc w:val="center"/>
        <w:rPr>
          <w:rFonts w:ascii="Times New Roman" w:hAnsi="Times New Roman" w:cs="Times New Roman"/>
          <w:sz w:val="24"/>
          <w:szCs w:val="24"/>
          <w:lang w:val="en-US"/>
        </w:rPr>
      </w:pPr>
      <w:r w:rsidRPr="00BA5839">
        <w:rPr>
          <w:rFonts w:ascii="Times New Roman" w:hAnsi="Times New Roman"/>
          <w:b/>
          <w:i/>
          <w:sz w:val="28"/>
          <w:szCs w:val="28"/>
          <w:lang w:val="en-US"/>
        </w:rPr>
        <w:t>WEEDS PRESENT IN COMMON BEAN CROP (PHASEOLUS VULGARIS L.) IN INTERMEDIATE SOWING SEASON AND ITS INFLUENCE ON AGRICULTURAL YIELD</w:t>
      </w:r>
    </w:p>
    <w:p w:rsidR="00BA5839" w:rsidRDefault="00BA5839" w:rsidP="00346C3F">
      <w:pPr>
        <w:spacing w:after="0" w:line="360" w:lineRule="auto"/>
        <w:jc w:val="both"/>
        <w:rPr>
          <w:rFonts w:ascii="Times New Roman" w:hAnsi="Times New Roman"/>
          <w:b/>
          <w:sz w:val="24"/>
          <w:szCs w:val="24"/>
        </w:rPr>
      </w:pPr>
      <w:r w:rsidRPr="00BA5839">
        <w:rPr>
          <w:rFonts w:ascii="Times New Roman" w:hAnsi="Times New Roman"/>
          <w:b/>
          <w:sz w:val="24"/>
          <w:szCs w:val="24"/>
        </w:rPr>
        <w:t>Pedro Martínez Campos1, Olga Lidia Haramboure Camacho2, Manuel Emilio Montes de Oca Fuentes3, Isbel Rodríguez Seijo4, Ubaldo Acelio Alvarez Hernández5, Arahís Cruz Limonte6, Víctor Daniel Gil Díaz7</w:t>
      </w:r>
    </w:p>
    <w:p w:rsidR="00BA5839" w:rsidRPr="00BA5839" w:rsidRDefault="00BA5839" w:rsidP="00BA5839">
      <w:pPr>
        <w:spacing w:after="0" w:line="360" w:lineRule="auto"/>
        <w:jc w:val="both"/>
        <w:rPr>
          <w:rFonts w:ascii="Times New Roman" w:hAnsi="Times New Roman"/>
          <w:sz w:val="24"/>
          <w:szCs w:val="24"/>
        </w:rPr>
      </w:pPr>
      <w:r w:rsidRPr="00BA5839">
        <w:rPr>
          <w:rFonts w:ascii="Times New Roman" w:hAnsi="Times New Roman"/>
          <w:sz w:val="24"/>
          <w:szCs w:val="24"/>
        </w:rPr>
        <w:t xml:space="preserve">1- Pedro Martínez Campos. Facultad de Ciencias Agropecuarias. Universidad Central “Marta Abreu” de Las Villas, Cuba. E-mail: pedromc@uclv.cu </w:t>
      </w:r>
    </w:p>
    <w:p w:rsidR="00BA5839" w:rsidRPr="00BA5839" w:rsidRDefault="00BA5839" w:rsidP="00BA5839">
      <w:pPr>
        <w:spacing w:after="0" w:line="360" w:lineRule="auto"/>
        <w:jc w:val="both"/>
        <w:rPr>
          <w:rFonts w:ascii="Times New Roman" w:hAnsi="Times New Roman"/>
          <w:sz w:val="24"/>
          <w:szCs w:val="24"/>
        </w:rPr>
      </w:pPr>
      <w:r w:rsidRPr="00BA5839">
        <w:rPr>
          <w:rFonts w:ascii="Times New Roman" w:hAnsi="Times New Roman"/>
          <w:sz w:val="24"/>
          <w:szCs w:val="24"/>
        </w:rPr>
        <w:t>2- Olga Lidia Haramboure Camacho. Delegación Municipal de la Agricultura. Cifuentes, Villa Clara, Cuba.</w:t>
      </w:r>
    </w:p>
    <w:p w:rsidR="00BA5839" w:rsidRPr="00BA5839" w:rsidRDefault="00BA5839" w:rsidP="00BA5839">
      <w:pPr>
        <w:spacing w:after="0" w:line="360" w:lineRule="auto"/>
        <w:jc w:val="both"/>
        <w:rPr>
          <w:rFonts w:ascii="Times New Roman" w:hAnsi="Times New Roman"/>
          <w:sz w:val="24"/>
          <w:szCs w:val="24"/>
        </w:rPr>
      </w:pPr>
      <w:r w:rsidRPr="00BA5839">
        <w:rPr>
          <w:rFonts w:ascii="Times New Roman" w:hAnsi="Times New Roman"/>
          <w:sz w:val="24"/>
          <w:szCs w:val="24"/>
        </w:rPr>
        <w:t>3- Manuel E. Montes de Oca.  Facultad de Ciencias Agropecuarias. Universidad Central “Marta Abreu” de Las Villas, Cuba. E-mail: manuelmo@uclv.cu</w:t>
      </w:r>
    </w:p>
    <w:p w:rsidR="00BA5839" w:rsidRPr="00BA5839" w:rsidRDefault="00BA5839" w:rsidP="00BA5839">
      <w:pPr>
        <w:spacing w:after="0" w:line="360" w:lineRule="auto"/>
        <w:jc w:val="both"/>
        <w:rPr>
          <w:rFonts w:ascii="Times New Roman" w:hAnsi="Times New Roman"/>
          <w:sz w:val="24"/>
          <w:szCs w:val="24"/>
        </w:rPr>
      </w:pPr>
      <w:r w:rsidRPr="00BA5839">
        <w:rPr>
          <w:rFonts w:ascii="Times New Roman" w:hAnsi="Times New Roman"/>
          <w:sz w:val="24"/>
          <w:szCs w:val="24"/>
        </w:rPr>
        <w:t>4- Isbel Rodríguez Seijo. Facultad de Ciencias Agropecuarias. Universidad Central “Marta Abreu” de Las Villas, Cuba. E-mail: isbelrs@uclv.cu</w:t>
      </w:r>
    </w:p>
    <w:p w:rsidR="00BA5839" w:rsidRPr="00BA5839" w:rsidRDefault="00BA5839" w:rsidP="00BA5839">
      <w:pPr>
        <w:spacing w:after="0" w:line="360" w:lineRule="auto"/>
        <w:jc w:val="both"/>
        <w:rPr>
          <w:rFonts w:ascii="Times New Roman" w:hAnsi="Times New Roman"/>
          <w:sz w:val="24"/>
          <w:szCs w:val="24"/>
        </w:rPr>
      </w:pPr>
      <w:r w:rsidRPr="00BA5839">
        <w:rPr>
          <w:rFonts w:ascii="Times New Roman" w:hAnsi="Times New Roman"/>
          <w:sz w:val="24"/>
          <w:szCs w:val="24"/>
        </w:rPr>
        <w:t xml:space="preserve">5- Ubaldo Álvarez Hernández. Facultad de Ciencias Agropecuarias. Universidad Central “Marta Abreu” de Las Villas, Cuba. E-mail: ubaldoah@uclv.edu.cu </w:t>
      </w:r>
    </w:p>
    <w:p w:rsidR="00BA5839" w:rsidRPr="00BA5839" w:rsidRDefault="00BA5839" w:rsidP="00BA5839">
      <w:pPr>
        <w:spacing w:after="0" w:line="360" w:lineRule="auto"/>
        <w:jc w:val="both"/>
        <w:rPr>
          <w:rFonts w:ascii="Times New Roman" w:hAnsi="Times New Roman"/>
          <w:sz w:val="24"/>
          <w:szCs w:val="24"/>
        </w:rPr>
      </w:pPr>
      <w:r w:rsidRPr="00BA5839">
        <w:rPr>
          <w:rFonts w:ascii="Times New Roman" w:hAnsi="Times New Roman"/>
          <w:sz w:val="24"/>
          <w:szCs w:val="24"/>
        </w:rPr>
        <w:t xml:space="preserve">6- Arahís Cruz Limonte. Facultad de Ciencias Agropecuarias. Universidad Central “Marta Abreu” de Las Villas, Cuba. E-mail: arahisc@uclv.edu.cu </w:t>
      </w:r>
    </w:p>
    <w:p w:rsidR="00BA5839" w:rsidRPr="00BA5839" w:rsidRDefault="00BA5839" w:rsidP="00BA5839">
      <w:pPr>
        <w:spacing w:after="0" w:line="360" w:lineRule="auto"/>
        <w:jc w:val="both"/>
        <w:rPr>
          <w:rFonts w:ascii="Times New Roman" w:hAnsi="Times New Roman" w:cs="Times New Roman"/>
          <w:b/>
          <w:sz w:val="24"/>
          <w:szCs w:val="24"/>
        </w:rPr>
      </w:pPr>
      <w:r w:rsidRPr="00BA5839">
        <w:rPr>
          <w:rFonts w:ascii="Times New Roman" w:hAnsi="Times New Roman"/>
          <w:sz w:val="24"/>
          <w:szCs w:val="24"/>
        </w:rPr>
        <w:t xml:space="preserve">7- Víctor Daniel Gil Díaz. Centro de Investigaciones Agropecuarias (CIAP), Universidad Central “Marta Abreu” de las Villas, Cuba. E-mail: victorg@uclv.edu.cu </w:t>
      </w:r>
      <w:r w:rsidRPr="00BA5839">
        <w:rPr>
          <w:rFonts w:ascii="Times New Roman" w:hAnsi="Times New Roman" w:cs="Times New Roman"/>
          <w:b/>
          <w:sz w:val="24"/>
          <w:szCs w:val="24"/>
        </w:rPr>
        <w:t xml:space="preserve">Resumen: </w:t>
      </w:r>
    </w:p>
    <w:p w:rsidR="00BA5839" w:rsidRPr="00BA5839" w:rsidRDefault="00BA5839" w:rsidP="00BA5839">
      <w:pPr>
        <w:spacing w:after="0" w:line="360" w:lineRule="auto"/>
        <w:jc w:val="both"/>
        <w:rPr>
          <w:rFonts w:ascii="Times New Roman" w:hAnsi="Times New Roman" w:cs="Times New Roman"/>
          <w:sz w:val="24"/>
          <w:szCs w:val="24"/>
        </w:rPr>
      </w:pPr>
      <w:r w:rsidRPr="00BA5839">
        <w:rPr>
          <w:rFonts w:ascii="Times New Roman" w:hAnsi="Times New Roman" w:cs="Times New Roman"/>
          <w:sz w:val="24"/>
          <w:szCs w:val="24"/>
        </w:rPr>
        <w:t xml:space="preserve">La investigación se realizó en el período comprendido de diciembre de 2017 a marzo de 2018 en la Finca “San José”, perteneciente a la Cooperativa de Créditos y Servicios “El </w:t>
      </w:r>
      <w:r w:rsidRPr="00BA5839">
        <w:rPr>
          <w:rFonts w:ascii="Times New Roman" w:hAnsi="Times New Roman" w:cs="Times New Roman"/>
          <w:sz w:val="24"/>
          <w:szCs w:val="24"/>
        </w:rPr>
        <w:lastRenderedPageBreak/>
        <w:t xml:space="preserve">Vaquerito” del municipio Santa Clara, con el objetivo de reconocer las plantas arvenses presentes en el cultivo del frijol común y su influencia sobre el rendimiento agrícola en época de siembra intermedia. La siembra del cultivar “Milagro Villareño” se realizó el 9 de diciembre de 2017, sobre un suelo Pardo mullido medianamente lavado, en un diseño de bloques al azar con tres tratamientos y tres réplicas. Para la determinación de la composición de la población de arvenses se realizaron cinco muestreos por el método de las diagonales. Se determinaron los índices de abundancia relativa y similitud de las arvenses. La cosecha se efectuó a los 87 días después de la siembra, momento en que fueron elegidas al azar cinco plantas por parcelas para un total de 15 por cada tratamiento, a las que se les evaluó: legumbres efectivas por planta, semillas efectivas por legumbre y semillas efectivas por planta; así como la masa de 100 semillas efectivas por tratamientos. También, fueron estimados los rendimientos agrícolas (t ha-1) en cada tratamiento. La población de arvenses estuvo representada por 15 especies, de las cuales </w:t>
      </w:r>
      <w:r w:rsidRPr="0033624A">
        <w:rPr>
          <w:rFonts w:ascii="Times New Roman" w:hAnsi="Times New Roman" w:cs="Times New Roman"/>
          <w:i/>
          <w:sz w:val="24"/>
          <w:szCs w:val="24"/>
        </w:rPr>
        <w:t>Echinochloa colona</w:t>
      </w:r>
      <w:r w:rsidRPr="00BA5839">
        <w:rPr>
          <w:rFonts w:ascii="Times New Roman" w:hAnsi="Times New Roman" w:cs="Times New Roman"/>
          <w:sz w:val="24"/>
          <w:szCs w:val="24"/>
        </w:rPr>
        <w:t xml:space="preserve"> (L.) Link. </w:t>
      </w:r>
      <w:proofErr w:type="gramStart"/>
      <w:r w:rsidRPr="00BA5839">
        <w:rPr>
          <w:rFonts w:ascii="Times New Roman" w:hAnsi="Times New Roman" w:cs="Times New Roman"/>
          <w:sz w:val="24"/>
          <w:szCs w:val="24"/>
        </w:rPr>
        <w:t>y</w:t>
      </w:r>
      <w:proofErr w:type="gramEnd"/>
      <w:r w:rsidRPr="00BA5839">
        <w:rPr>
          <w:rFonts w:ascii="Times New Roman" w:hAnsi="Times New Roman" w:cs="Times New Roman"/>
          <w:sz w:val="24"/>
          <w:szCs w:val="24"/>
        </w:rPr>
        <w:t xml:space="preserve"> </w:t>
      </w:r>
      <w:r w:rsidRPr="0033624A">
        <w:rPr>
          <w:rFonts w:ascii="Times New Roman" w:hAnsi="Times New Roman" w:cs="Times New Roman"/>
          <w:i/>
          <w:sz w:val="24"/>
          <w:szCs w:val="24"/>
        </w:rPr>
        <w:t>Portulaca oleraceae</w:t>
      </w:r>
      <w:r w:rsidRPr="00BA5839">
        <w:rPr>
          <w:rFonts w:ascii="Times New Roman" w:hAnsi="Times New Roman" w:cs="Times New Roman"/>
          <w:sz w:val="24"/>
          <w:szCs w:val="24"/>
        </w:rPr>
        <w:t xml:space="preserve"> L. alcanzaron los mayores valores de abundancia relativa. El mayor rendimiento agrícola se obtuvo cuando se aplicó control de arvenses hasta los 60 días después de la siembra (tratamiento 1).</w:t>
      </w:r>
    </w:p>
    <w:p w:rsidR="00BA5839" w:rsidRDefault="00BA5839" w:rsidP="00BA5839">
      <w:pPr>
        <w:spacing w:after="0" w:line="360" w:lineRule="auto"/>
        <w:jc w:val="both"/>
        <w:rPr>
          <w:rFonts w:ascii="Times New Roman" w:hAnsi="Times New Roman" w:cs="Times New Roman"/>
          <w:b/>
          <w:sz w:val="24"/>
          <w:szCs w:val="24"/>
        </w:rPr>
      </w:pPr>
      <w:r w:rsidRPr="00BA5839">
        <w:rPr>
          <w:rFonts w:ascii="Times New Roman" w:hAnsi="Times New Roman" w:cs="Times New Roman"/>
          <w:b/>
          <w:sz w:val="24"/>
          <w:szCs w:val="24"/>
        </w:rPr>
        <w:t>Palabras clave:</w:t>
      </w:r>
      <w:r w:rsidRPr="00BA5839">
        <w:rPr>
          <w:rFonts w:ascii="Times New Roman" w:hAnsi="Times New Roman" w:cs="Times New Roman"/>
          <w:sz w:val="24"/>
          <w:szCs w:val="24"/>
        </w:rPr>
        <w:t xml:space="preserve"> índice de abundancia relativa, índice de similitud, rendimiento</w:t>
      </w:r>
      <w:r w:rsidRPr="00BA5839">
        <w:rPr>
          <w:rFonts w:ascii="Times New Roman" w:hAnsi="Times New Roman" w:cs="Times New Roman"/>
          <w:b/>
          <w:sz w:val="24"/>
          <w:szCs w:val="24"/>
        </w:rPr>
        <w:t xml:space="preserve"> agrícola.</w:t>
      </w:r>
    </w:p>
    <w:p w:rsidR="00346C3F" w:rsidRPr="00BA5839" w:rsidRDefault="00346C3F" w:rsidP="00BA5839">
      <w:pPr>
        <w:spacing w:after="0" w:line="360" w:lineRule="auto"/>
        <w:jc w:val="both"/>
        <w:rPr>
          <w:rFonts w:ascii="Times New Roman" w:hAnsi="Times New Roman"/>
          <w:b/>
          <w:i/>
          <w:sz w:val="24"/>
          <w:szCs w:val="24"/>
          <w:lang w:val="en-US"/>
        </w:rPr>
      </w:pPr>
      <w:r w:rsidRPr="00BA5839">
        <w:rPr>
          <w:rFonts w:ascii="Times New Roman" w:hAnsi="Times New Roman"/>
          <w:b/>
          <w:i/>
          <w:sz w:val="24"/>
          <w:szCs w:val="24"/>
          <w:lang w:val="en-US"/>
        </w:rPr>
        <w:t>Abstract</w:t>
      </w:r>
    </w:p>
    <w:p w:rsidR="00BA5839" w:rsidRPr="00BA5839" w:rsidRDefault="00BA5839" w:rsidP="00BA5839">
      <w:pPr>
        <w:spacing w:after="0" w:line="360" w:lineRule="auto"/>
        <w:jc w:val="both"/>
        <w:rPr>
          <w:rStyle w:val="tlid-translation"/>
          <w:rFonts w:ascii="Times New Roman" w:hAnsi="Times New Roman"/>
          <w:i/>
          <w:sz w:val="24"/>
          <w:szCs w:val="24"/>
          <w:lang w:val="en-US"/>
        </w:rPr>
      </w:pPr>
      <w:r w:rsidRPr="00BA5839">
        <w:rPr>
          <w:rStyle w:val="tlid-translation"/>
          <w:rFonts w:ascii="Times New Roman" w:hAnsi="Times New Roman"/>
          <w:i/>
          <w:sz w:val="24"/>
          <w:szCs w:val="24"/>
          <w:lang w:val="en-US"/>
        </w:rPr>
        <w:t xml:space="preserve">Research was carried out in the period from December 2017 to March 2018 in the "San José" farm, belonging to the Credit and Services Cooperative "El Vaquerito" of Santa Clara municipality, with the objective of recognizing the existing weeds in the common bean crop and its influence on agricultural yield in intermediate sowing season. The sowing of the cultivar "Milagro Villareño" took place on December 9, 2017, on a moderately washed soft Brown soil, in a randomized block design with three treatments and three replications. To determine the composition of the population of weeds, five samples were taken by the diagonal method. The indices of relative abundance and similarity of the weeds were determined. The harvest was made at 87 days after sowing, at which time five plants were randomly chosen by plots for a total of 15 for each treatment, to which were evaluated: effective legumes per plant, effective seeds per legume and effective seeds per plant; as well as the mass of 100 effective seeds per treatments. Agricultural yields (t ha-1) were also estimated in each treatment. The </w:t>
      </w:r>
      <w:r w:rsidRPr="00BA5839">
        <w:rPr>
          <w:rStyle w:val="tlid-translation"/>
          <w:rFonts w:ascii="Times New Roman" w:hAnsi="Times New Roman"/>
          <w:i/>
          <w:sz w:val="24"/>
          <w:szCs w:val="24"/>
          <w:lang w:val="en-US"/>
        </w:rPr>
        <w:lastRenderedPageBreak/>
        <w:t>population of weeds was represented by 15 species, of which Echinochloa colona (L.) Link. and Portulaca oleraceae L. reached the highest values of relative abundance. The highest agricultural yield was obtained when weed control was applied up to 60 days after the sowing (treatment 1).</w:t>
      </w:r>
    </w:p>
    <w:p w:rsidR="009061A5" w:rsidRPr="00346C3F" w:rsidRDefault="00BA5839" w:rsidP="00BA5839">
      <w:pPr>
        <w:spacing w:after="0" w:line="360" w:lineRule="auto"/>
        <w:jc w:val="both"/>
        <w:rPr>
          <w:rFonts w:ascii="Times New Roman" w:hAnsi="Times New Roman" w:cs="Times New Roman"/>
          <w:sz w:val="24"/>
          <w:szCs w:val="24"/>
          <w:lang w:val="en-US"/>
        </w:rPr>
      </w:pPr>
      <w:r w:rsidRPr="00BA5839">
        <w:rPr>
          <w:rStyle w:val="tlid-translation"/>
          <w:rFonts w:ascii="Times New Roman" w:hAnsi="Times New Roman"/>
          <w:b/>
          <w:i/>
          <w:sz w:val="24"/>
          <w:szCs w:val="24"/>
          <w:lang w:val="en-US"/>
        </w:rPr>
        <w:t>Keywords:</w:t>
      </w:r>
      <w:r w:rsidRPr="00BA5839">
        <w:rPr>
          <w:rStyle w:val="tlid-translation"/>
          <w:rFonts w:ascii="Times New Roman" w:hAnsi="Times New Roman"/>
          <w:i/>
          <w:sz w:val="24"/>
          <w:szCs w:val="24"/>
          <w:lang w:val="en-US"/>
        </w:rPr>
        <w:t xml:space="preserve">  index of relative abundance, index of similarity, agricultural yield.        </w:t>
      </w:r>
    </w:p>
    <w:p w:rsidR="004C5BBC" w:rsidRDefault="00A21A1F" w:rsidP="00FF334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Pr="00A21A1F">
        <w:rPr>
          <w:rFonts w:ascii="Times New Roman" w:hAnsi="Times New Roman" w:cs="Times New Roman"/>
          <w:b/>
          <w:sz w:val="24"/>
          <w:szCs w:val="24"/>
        </w:rPr>
        <w:t>Introducción</w:t>
      </w:r>
      <w:r w:rsidR="00346C3F">
        <w:rPr>
          <w:rFonts w:ascii="Times New Roman" w:hAnsi="Times New Roman" w:cs="Times New Roman"/>
          <w:b/>
          <w:sz w:val="24"/>
          <w:szCs w:val="24"/>
        </w:rPr>
        <w:t xml:space="preserve"> </w:t>
      </w:r>
    </w:p>
    <w:p w:rsidR="00BA5839" w:rsidRPr="00BA5839" w:rsidRDefault="00BA5839" w:rsidP="00BA5839">
      <w:pPr>
        <w:spacing w:after="0" w:line="360" w:lineRule="auto"/>
        <w:jc w:val="both"/>
        <w:rPr>
          <w:rFonts w:ascii="Times New Roman" w:hAnsi="Times New Roman" w:cs="Times New Roman"/>
          <w:sz w:val="24"/>
          <w:szCs w:val="24"/>
          <w:lang w:val="es-ES_tradnl"/>
        </w:rPr>
      </w:pPr>
      <w:r w:rsidRPr="00BA5839">
        <w:rPr>
          <w:rFonts w:ascii="Times New Roman" w:hAnsi="Times New Roman" w:cs="Times New Roman"/>
          <w:sz w:val="24"/>
          <w:szCs w:val="24"/>
          <w:lang w:val="es-ES_tradnl"/>
        </w:rPr>
        <w:t>El frijol común (</w:t>
      </w:r>
      <w:r w:rsidRPr="0033624A">
        <w:rPr>
          <w:rFonts w:ascii="Times New Roman" w:hAnsi="Times New Roman" w:cs="Times New Roman"/>
          <w:i/>
          <w:sz w:val="24"/>
          <w:szCs w:val="24"/>
          <w:lang w:val="es-ES_tradnl"/>
        </w:rPr>
        <w:t>Phaseolus vulgaris</w:t>
      </w:r>
      <w:r w:rsidRPr="00BA5839">
        <w:rPr>
          <w:rFonts w:ascii="Times New Roman" w:hAnsi="Times New Roman" w:cs="Times New Roman"/>
          <w:sz w:val="24"/>
          <w:szCs w:val="24"/>
          <w:lang w:val="es-ES_tradnl"/>
        </w:rPr>
        <w:t xml:space="preserve"> L.) es un valioso componente de la dieta humana. Este cultivo ha constituido tradicionalmente un componente importante en la dieta del cubano por sus propiedades nutritivas. Posee un alto contenido proteico y en menor medida de carbohidratos, vitaminas y minerales. La calidad de la proteína del frijol cocido puede llegar a ser de hasta el 70% comparada con una proteína testigo de origen animal (Ulloa et al., 2011).</w:t>
      </w:r>
    </w:p>
    <w:p w:rsidR="00BA5839" w:rsidRPr="00BA5839" w:rsidRDefault="00BA5839" w:rsidP="00BA5839">
      <w:pPr>
        <w:spacing w:after="0" w:line="360" w:lineRule="auto"/>
        <w:jc w:val="both"/>
        <w:rPr>
          <w:rFonts w:ascii="Times New Roman" w:hAnsi="Times New Roman" w:cs="Times New Roman"/>
          <w:sz w:val="24"/>
          <w:szCs w:val="24"/>
          <w:lang w:val="es-ES_tradnl"/>
        </w:rPr>
      </w:pPr>
      <w:r w:rsidRPr="00BA5839">
        <w:rPr>
          <w:rFonts w:ascii="Times New Roman" w:hAnsi="Times New Roman" w:cs="Times New Roman"/>
          <w:sz w:val="24"/>
          <w:szCs w:val="24"/>
          <w:lang w:val="es-ES_tradnl"/>
        </w:rPr>
        <w:t xml:space="preserve"> En Cuba se cultiva el frijol a lo largo y ancho del país y se alcanza un rendimiento agrícola promedio de 1,12 t ha-1. En el sector estatal el rendimiento agrícola es de 1,20 t ha-1, mientras que en el sector no estatal solo se alcanzan 1,11 t ha-1 (ONEI, 2017). La producción con estos rendimientos no satisface la demanda nacional, por lo que se ha hecho necesario la importación de este alimento que asciende a las 135 510 t por año (FAO, 2007). </w:t>
      </w:r>
    </w:p>
    <w:p w:rsidR="00BA5839" w:rsidRPr="00BA5839" w:rsidRDefault="00BA5839" w:rsidP="00BA5839">
      <w:pPr>
        <w:spacing w:after="0" w:line="360" w:lineRule="auto"/>
        <w:jc w:val="both"/>
        <w:rPr>
          <w:rFonts w:ascii="Times New Roman" w:hAnsi="Times New Roman" w:cs="Times New Roman"/>
          <w:sz w:val="24"/>
          <w:szCs w:val="24"/>
          <w:lang w:val="es-ES_tradnl"/>
        </w:rPr>
      </w:pPr>
      <w:r w:rsidRPr="00BA5839">
        <w:rPr>
          <w:rFonts w:ascii="Times New Roman" w:hAnsi="Times New Roman" w:cs="Times New Roman"/>
          <w:sz w:val="24"/>
          <w:szCs w:val="24"/>
          <w:lang w:val="es-ES_tradnl"/>
        </w:rPr>
        <w:t xml:space="preserve">Este cultivo es altamente susceptible a la competencia temprana de las arvenses, pero su producción puede ser igualmente afectada por la emergencia tardía de estas, favorecidas por la pérdida del follaje de la planta cultivable durante el período de su reproducción (Blanco y Leyva, 2011). Las arvenses pueden llegar a producir pérdidas desde un 40,6 % a un 55,1 % en la productividad del frijol (Parreira et al., 2013). </w:t>
      </w:r>
    </w:p>
    <w:p w:rsidR="00BA5839" w:rsidRPr="00BA5839" w:rsidRDefault="00BA5839" w:rsidP="00BA5839">
      <w:pPr>
        <w:spacing w:after="0" w:line="360" w:lineRule="auto"/>
        <w:jc w:val="both"/>
        <w:rPr>
          <w:rFonts w:ascii="Times New Roman" w:hAnsi="Times New Roman" w:cs="Times New Roman"/>
          <w:sz w:val="24"/>
          <w:szCs w:val="24"/>
          <w:lang w:val="es-ES_tradnl"/>
        </w:rPr>
      </w:pPr>
      <w:r w:rsidRPr="00BA5839">
        <w:rPr>
          <w:rFonts w:ascii="Times New Roman" w:hAnsi="Times New Roman" w:cs="Times New Roman"/>
          <w:sz w:val="24"/>
          <w:szCs w:val="24"/>
          <w:lang w:val="es-ES_tradnl"/>
        </w:rPr>
        <w:t xml:space="preserve">Es apreciable el daño que pueden producir las arvenses en el cultivo del frijol, sin embargo, se han desarrollado mucho menos investigaciones sobre estas en comparación con otras plagas que lo afectan. Las investigaciones sobre arvenses han estado centradas en la determinación del período crítico de interferencia (Blanco y Leyva, 2011), en el registro de las especies y su entomofauna asociada (Blanco y Leyva, 2013), y sobre determinados aspectos de su manejo (Damián, 2017). Muy pocas hacen uso de los índices poblacionales y su influencia en el rendimiento agrícola. </w:t>
      </w:r>
    </w:p>
    <w:p w:rsidR="00BA5839" w:rsidRDefault="00BA5839" w:rsidP="00BA5839">
      <w:pPr>
        <w:spacing w:after="0" w:line="360" w:lineRule="auto"/>
        <w:jc w:val="both"/>
        <w:rPr>
          <w:rFonts w:ascii="Times New Roman" w:hAnsi="Times New Roman" w:cs="Times New Roman"/>
          <w:sz w:val="24"/>
          <w:szCs w:val="24"/>
          <w:lang w:val="es-ES_tradnl"/>
        </w:rPr>
      </w:pPr>
      <w:r w:rsidRPr="00BA5839">
        <w:rPr>
          <w:rFonts w:ascii="Times New Roman" w:hAnsi="Times New Roman" w:cs="Times New Roman"/>
          <w:sz w:val="24"/>
          <w:szCs w:val="24"/>
          <w:lang w:val="es-ES_tradnl"/>
        </w:rPr>
        <w:lastRenderedPageBreak/>
        <w:t>Teniendo en cuenta estos antecedentes, la presente investigación tuvo como objetivo registrar las plantas arvenses presentes en el cultivo del frijol común y su influencia sobre el rendimiento agrícola en época de siembra intermedia.</w:t>
      </w:r>
    </w:p>
    <w:p w:rsidR="00A21A1F" w:rsidRDefault="00A21A1F" w:rsidP="00BA5839">
      <w:pPr>
        <w:spacing w:after="0" w:line="360" w:lineRule="auto"/>
        <w:jc w:val="both"/>
        <w:rPr>
          <w:rFonts w:ascii="Times New Roman" w:hAnsi="Times New Roman" w:cs="Times New Roman"/>
          <w:b/>
          <w:sz w:val="24"/>
          <w:szCs w:val="24"/>
        </w:rPr>
      </w:pPr>
      <w:r w:rsidRPr="00A21A1F">
        <w:rPr>
          <w:rFonts w:ascii="Times New Roman" w:hAnsi="Times New Roman" w:cs="Times New Roman"/>
          <w:b/>
          <w:sz w:val="24"/>
          <w:szCs w:val="24"/>
        </w:rPr>
        <w:t>2. Metodología</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La investigación se desarrolló en la Cooperativa de Créditos y Servicios (CCS) “El Vaquerito” del municipio Santa Clara en el período comprendido de diciembre de 2017 a mayo de 2018. Se utilizó el   cultivar Milagro Villareño. </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El experimento se realizó sobre un suelo Pardo mullido medianamente lavado (Hernández et al., 2015) y se utilizó un diseño de bloques al azar con tres tratamientos y tres réplicas. El área de cada parcela experimental fue de 5,25 m2.</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Los tratamientos utilizados fueron: </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1- Control de arvenses hasta los 60 días después de la siembra.</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2- Control de arvenses hasta los 40 días después de la siembra. </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3- Control de arvenses entre los 40 y 60 días después de la siembra. </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El cultivo fue sembrado a una distancia de 0,45 m x 0,05 m. con un tape de la semilla entre 3 cm y 6 cm. A los siete días después de la germinación se efectuó un raleo para dejar una planta por nido. Las atenciones culturales al cultivo se desarrollaron según las Instrucciones básicas para el cultivo del frijol común (Quintero y Gil, 2012). Se aplicaron tres riegos de agua, uno en la siembra, otro en la tercera hoja trifoliada y el último en el llenado de legumbres. No se empleó ningún herbicida. El control de arvenses en los tratamientos que lo requirieron se realizó por el sistema tradicional utilizando el azadón.</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Para la determinación de la composición de la población de las plantas arvenses se realizaron cinco muestreos mediante el método de las diagonales, a los 15, 30, 45, 60 y 75 días después de la siembra. En cada parcela se seleccionaron tres puntos fijos, para un total de nueve por tratamiento, en los que se contabilizó las especies de arvenses presentes para determinar los índices ecológicos de Abundancia relativa y Similitud.</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El índice de Abundancia relativa (Pi) se calculó según la fórmula  </w:t>
      </w:r>
      <m:oMath>
        <m:r>
          <w:rPr>
            <w:rFonts w:ascii="Cambria Math" w:hAnsi="Cambria Math"/>
          </w:rPr>
          <m:t>Pi=</m:t>
        </m:r>
        <m:f>
          <m:fPr>
            <m:ctrlPr>
              <w:rPr>
                <w:rFonts w:ascii="Cambria Math" w:hAnsi="Cambria Math"/>
              </w:rPr>
            </m:ctrlPr>
          </m:fPr>
          <m:num>
            <m:r>
              <w:rPr>
                <w:rFonts w:ascii="Cambria Math" w:hAnsi="Cambria Math"/>
              </w:rPr>
              <m:t>n</m:t>
            </m:r>
          </m:num>
          <m:den>
            <m:r>
              <w:rPr>
                <w:rFonts w:ascii="Cambria Math" w:hAnsi="Cambria Math"/>
              </w:rPr>
              <m:t>∑N</m:t>
            </m:r>
          </m:den>
        </m:f>
      </m:oMath>
      <w:r w:rsidRPr="00C70E85">
        <w:rPr>
          <w:rFonts w:ascii="Times New Roman" w:hAnsi="Times New Roman" w:cs="Times New Roman"/>
          <w:sz w:val="24"/>
          <w:szCs w:val="24"/>
        </w:rPr>
        <w:t xml:space="preserve">  (Bowman et al., 2017), donde el número de individuos de una especie está representado por n y el número total de individuos de todas las especies por N. Para hacer más evidente las diferencias entre los tratamientos se aplicó el Log</w:t>
      </w:r>
      <w:r w:rsidRPr="009477E0">
        <w:rPr>
          <w:rFonts w:ascii="Times New Roman" w:hAnsi="Times New Roman" w:cs="Times New Roman"/>
          <w:sz w:val="24"/>
          <w:szCs w:val="24"/>
          <w:vertAlign w:val="subscript"/>
        </w:rPr>
        <w:t>10</w:t>
      </w:r>
      <w:r w:rsidRPr="00C70E85">
        <w:rPr>
          <w:rFonts w:ascii="Times New Roman" w:hAnsi="Times New Roman" w:cs="Times New Roman"/>
          <w:sz w:val="24"/>
          <w:szCs w:val="24"/>
        </w:rPr>
        <w:t xml:space="preserve"> a los resultados. </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lastRenderedPageBreak/>
        <w:t xml:space="preserve"> El índice de Similitud (S) se determinó mediante la fórmula </w:t>
      </w:r>
      <m:oMath>
        <m:r>
          <m:rPr>
            <m:sty m:val="p"/>
          </m:rPr>
          <w:rPr>
            <w:rFonts w:ascii="Cambria Math" w:hAnsi="Cambria Math" w:cs="Cambria Math"/>
          </w:rPr>
          <m:t>S=</m:t>
        </m:r>
        <m:f>
          <m:fPr>
            <m:ctrlPr>
              <w:rPr>
                <w:rFonts w:ascii="Cambria Math" w:hAnsi="Cambria Math" w:cs="Times New Roman"/>
              </w:rPr>
            </m:ctrlPr>
          </m:fPr>
          <m:num>
            <m:r>
              <m:rPr>
                <m:sty m:val="p"/>
              </m:rPr>
              <w:rPr>
                <w:rFonts w:ascii="Cambria Math" w:hAnsi="Cambria Math" w:cs="Cambria Math"/>
              </w:rPr>
              <m:t>2C</m:t>
            </m:r>
          </m:num>
          <m:den>
            <m:r>
              <m:rPr>
                <m:sty m:val="p"/>
              </m:rPr>
              <w:rPr>
                <w:rFonts w:ascii="Cambria Math" w:hAnsi="Cambria Math" w:cs="Cambria Math"/>
              </w:rPr>
              <m:t>A+B</m:t>
            </m:r>
          </m:den>
        </m:f>
      </m:oMath>
      <w:r w:rsidRPr="00C70E85">
        <w:rPr>
          <w:rFonts w:ascii="Times New Roman" w:hAnsi="Times New Roman" w:cs="Times New Roman"/>
          <w:sz w:val="24"/>
          <w:szCs w:val="24"/>
        </w:rPr>
        <w:t xml:space="preserve">  (Bowman et al., 2017), donde A y B representan el número de especies en cada tratamiento y C es el número de especies comunes en ambos tratamientos. </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Para evaluar la respuesta del cultivar ante la interferencia de las plantas arvenses fueron elegidas al azar 15 plantas por tratamiento, las que se cosecharon en estado de madurez de cosecha. De ellas, se tomaron las legumbres y se desgranaron manualmente de forma individual. Las semillas se colocaron en cartuchos de papel y fueron expuestas al sol y al aire hasta alcanzar una humedad de 13±0,2 %. El cálculo automático de su contenido de humedad (%) se realizó con un probador de granos modelo mini GAC</w:t>
      </w:r>
      <w:r w:rsidRPr="00C70E85">
        <w:rPr>
          <w:rFonts w:ascii="Times New Roman" w:hAnsi="Times New Roman" w:cs="Times New Roman"/>
          <w:sz w:val="24"/>
          <w:szCs w:val="24"/>
        </w:rPr>
        <w:t> Plus, producido por DICKEY-John Corporation.</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Los componentes del rendimiento evaluados fueron:</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w:t>
      </w:r>
      <w:r w:rsidRPr="00C70E85">
        <w:rPr>
          <w:rFonts w:ascii="Times New Roman" w:hAnsi="Times New Roman" w:cs="Times New Roman"/>
          <w:sz w:val="24"/>
          <w:szCs w:val="24"/>
        </w:rPr>
        <w:tab/>
        <w:t>Legumbres efectivas por planta (LEP): cantidad de legumbres bien formadas presentes en cada planta.</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w:t>
      </w:r>
      <w:r w:rsidRPr="00C70E85">
        <w:rPr>
          <w:rFonts w:ascii="Times New Roman" w:hAnsi="Times New Roman" w:cs="Times New Roman"/>
          <w:sz w:val="24"/>
          <w:szCs w:val="24"/>
        </w:rPr>
        <w:tab/>
        <w:t>Semillas efectivas por legumbre (SEL): cantidad de semillas bien formadas en cada legumbre.</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w:t>
      </w:r>
      <w:r w:rsidRPr="00C70E85">
        <w:rPr>
          <w:rFonts w:ascii="Times New Roman" w:hAnsi="Times New Roman" w:cs="Times New Roman"/>
          <w:sz w:val="24"/>
          <w:szCs w:val="24"/>
        </w:rPr>
        <w:tab/>
        <w:t>Semillas por planta (SP): cantidad de semillas efectivas en cada planta.</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w:t>
      </w:r>
      <w:r w:rsidRPr="00C70E85">
        <w:rPr>
          <w:rFonts w:ascii="Times New Roman" w:hAnsi="Times New Roman" w:cs="Times New Roman"/>
          <w:sz w:val="24"/>
          <w:szCs w:val="24"/>
        </w:rPr>
        <w:tab/>
        <w:t>Producción por planta (PP) (g): masa de todas las semillas efectivas presentes en cada planta.</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w:t>
      </w:r>
      <w:r w:rsidRPr="00C70E85">
        <w:rPr>
          <w:rFonts w:ascii="Times New Roman" w:hAnsi="Times New Roman" w:cs="Times New Roman"/>
          <w:sz w:val="24"/>
          <w:szCs w:val="24"/>
        </w:rPr>
        <w:tab/>
        <w:t xml:space="preserve">Masa de 100 semillas (M100s) (g): masa de 100 semillas efectivas tomadas al azar en cada réplica.  </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Las estimaciones del rendimiento agrícola (t ha-1) se efectuaron a partir de la producción promedio por tratamiento, la que fue calculada a partir de la producción obtenida en cada una de las réplicas.</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Para las determinaciones de la masa de las semillas (g) se utilizó una Balanza Electrónica modelo YP3001N con una precisión de 0,1g. </w:t>
      </w:r>
    </w:p>
    <w:p w:rsid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El análisis estadístico de los datos se realizó mediante el paquete estadístico STATGRAPHICS versión 5.0 sobre Windows y las variables en estudio fueron procesadas mediante un análisis de varianza de clasificación simple. Cuando existió diferencia significativa se realizó la prueba de Kruskall Wallis y la prueba de Mínima diferencia significativa (MDS).</w:t>
      </w:r>
    </w:p>
    <w:p w:rsidR="00A21A1F" w:rsidRDefault="00A21A1F" w:rsidP="00C70E85">
      <w:pPr>
        <w:spacing w:after="0" w:line="360" w:lineRule="auto"/>
        <w:jc w:val="both"/>
        <w:rPr>
          <w:rFonts w:ascii="Times New Roman" w:hAnsi="Times New Roman" w:cs="Times New Roman"/>
          <w:b/>
          <w:sz w:val="24"/>
          <w:szCs w:val="24"/>
        </w:rPr>
      </w:pPr>
      <w:r w:rsidRPr="009D5E02">
        <w:rPr>
          <w:rFonts w:ascii="Times New Roman" w:hAnsi="Times New Roman" w:cs="Times New Roman"/>
          <w:b/>
          <w:sz w:val="24"/>
          <w:szCs w:val="24"/>
        </w:rPr>
        <w:t>3. Resultados y discusión</w:t>
      </w:r>
    </w:p>
    <w:p w:rsidR="00C70E85" w:rsidRPr="0061525A" w:rsidRDefault="0061525A" w:rsidP="00C70E85">
      <w:pPr>
        <w:spacing w:after="0" w:line="360" w:lineRule="auto"/>
        <w:jc w:val="both"/>
        <w:rPr>
          <w:rFonts w:ascii="Times New Roman" w:hAnsi="Times New Roman" w:cs="Times New Roman"/>
          <w:b/>
          <w:sz w:val="24"/>
          <w:szCs w:val="24"/>
        </w:rPr>
      </w:pPr>
      <w:r w:rsidRPr="0061525A">
        <w:rPr>
          <w:rFonts w:ascii="Times New Roman" w:hAnsi="Times New Roman" w:cs="Times New Roman"/>
          <w:b/>
          <w:sz w:val="24"/>
          <w:szCs w:val="24"/>
        </w:rPr>
        <w:t xml:space="preserve">3.1 </w:t>
      </w:r>
      <w:r w:rsidR="00C70E85" w:rsidRPr="0061525A">
        <w:rPr>
          <w:rFonts w:ascii="Times New Roman" w:hAnsi="Times New Roman" w:cs="Times New Roman"/>
          <w:b/>
          <w:sz w:val="24"/>
          <w:szCs w:val="24"/>
        </w:rPr>
        <w:t>Determinación de la composición de la población de plantas arvenses</w:t>
      </w:r>
    </w:p>
    <w:p w:rsid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lastRenderedPageBreak/>
        <w:t xml:space="preserve">Al evaluar la riqueza específica de arvenses presentes en el experimento se identificaron 15 especies pertenecientes a nueve familias botánicas, con predominio de las especies dicotiledóneas (Tabla </w:t>
      </w:r>
      <w:r w:rsidR="002D747A">
        <w:rPr>
          <w:rFonts w:ascii="Times New Roman" w:hAnsi="Times New Roman" w:cs="Times New Roman"/>
          <w:sz w:val="24"/>
          <w:szCs w:val="24"/>
        </w:rPr>
        <w:t>1)</w:t>
      </w:r>
      <w:r w:rsidRPr="00C70E85">
        <w:rPr>
          <w:rFonts w:ascii="Times New Roman" w:hAnsi="Times New Roman" w:cs="Times New Roman"/>
          <w:sz w:val="24"/>
          <w:szCs w:val="24"/>
        </w:rPr>
        <w:t>. La mayor diversidad de especies se encontró cuando no se realizó control de arvenses hasta los 40 días después de la siembra (tratamiento 3); mientras que la menor cantidad de especies se reportó cuando se realizó control de arvenses hasta los 60 días después de la siembra (tratamiento 1).</w:t>
      </w:r>
    </w:p>
    <w:p w:rsidR="00C70E85" w:rsidRDefault="00C70E85" w:rsidP="00C70E85">
      <w:pPr>
        <w:spacing w:after="0" w:line="360" w:lineRule="auto"/>
        <w:jc w:val="center"/>
        <w:rPr>
          <w:rFonts w:ascii="Times New Roman" w:hAnsi="Times New Roman" w:cs="Times New Roman"/>
        </w:rPr>
      </w:pPr>
      <w:r w:rsidRPr="00C70E85">
        <w:rPr>
          <w:rFonts w:ascii="Times New Roman" w:hAnsi="Times New Roman" w:cs="Times New Roman"/>
          <w:b/>
        </w:rPr>
        <w:t>Tabla 1.</w:t>
      </w:r>
      <w:r w:rsidRPr="00C70E85">
        <w:rPr>
          <w:rFonts w:ascii="Times New Roman" w:hAnsi="Times New Roman" w:cs="Times New Roman"/>
        </w:rPr>
        <w:t xml:space="preserve"> Arvenses reportadas en los tratamientos aplicados</w:t>
      </w:r>
    </w:p>
    <w:tbl>
      <w:tblPr>
        <w:tblW w:w="0" w:type="auto"/>
        <w:tblBorders>
          <w:top w:val="single" w:sz="4" w:space="0" w:color="7F7F7F"/>
          <w:bottom w:val="single" w:sz="4" w:space="0" w:color="7F7F7F"/>
        </w:tblBorders>
        <w:tblLook w:val="04A0" w:firstRow="1" w:lastRow="0" w:firstColumn="1" w:lastColumn="0" w:noHBand="0" w:noVBand="1"/>
      </w:tblPr>
      <w:tblGrid>
        <w:gridCol w:w="2479"/>
        <w:gridCol w:w="1754"/>
        <w:gridCol w:w="1786"/>
        <w:gridCol w:w="924"/>
        <w:gridCol w:w="784"/>
        <w:gridCol w:w="331"/>
        <w:gridCol w:w="331"/>
        <w:gridCol w:w="331"/>
      </w:tblGrid>
      <w:tr w:rsidR="00C70E85" w:rsidRPr="0033624A" w:rsidTr="00C70E85">
        <w:trPr>
          <w:trHeight w:val="377"/>
        </w:trPr>
        <w:tc>
          <w:tcPr>
            <w:tcW w:w="2479" w:type="dxa"/>
            <w:vMerge w:val="restart"/>
            <w:tcBorders>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Especies</w:t>
            </w:r>
          </w:p>
        </w:tc>
        <w:tc>
          <w:tcPr>
            <w:tcW w:w="1754" w:type="dxa"/>
            <w:vMerge w:val="restart"/>
            <w:tcBorders>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Familia</w:t>
            </w:r>
          </w:p>
        </w:tc>
        <w:tc>
          <w:tcPr>
            <w:tcW w:w="1786" w:type="dxa"/>
            <w:vMerge w:val="restart"/>
            <w:tcBorders>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Nombre vulgar</w:t>
            </w:r>
          </w:p>
        </w:tc>
        <w:tc>
          <w:tcPr>
            <w:tcW w:w="924" w:type="dxa"/>
            <w:vMerge w:val="restart"/>
            <w:tcBorders>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Grupo</w:t>
            </w:r>
          </w:p>
        </w:tc>
        <w:tc>
          <w:tcPr>
            <w:tcW w:w="784" w:type="dxa"/>
            <w:vMerge w:val="restart"/>
            <w:tcBorders>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Ciclo</w:t>
            </w:r>
          </w:p>
        </w:tc>
        <w:tc>
          <w:tcPr>
            <w:tcW w:w="993" w:type="dxa"/>
            <w:gridSpan w:val="3"/>
            <w:tcBorders>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Tratam.</w:t>
            </w:r>
          </w:p>
        </w:tc>
      </w:tr>
      <w:tr w:rsidR="00C70E85" w:rsidRPr="0033624A" w:rsidTr="00C70E85">
        <w:trPr>
          <w:trHeight w:val="377"/>
        </w:trPr>
        <w:tc>
          <w:tcPr>
            <w:tcW w:w="2479" w:type="dxa"/>
            <w:vMerge/>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p>
        </w:tc>
        <w:tc>
          <w:tcPr>
            <w:tcW w:w="1754" w:type="dxa"/>
            <w:vMerge/>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p>
        </w:tc>
        <w:tc>
          <w:tcPr>
            <w:tcW w:w="1786" w:type="dxa"/>
            <w:vMerge/>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p>
        </w:tc>
        <w:tc>
          <w:tcPr>
            <w:tcW w:w="924" w:type="dxa"/>
            <w:vMerge/>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p>
        </w:tc>
        <w:tc>
          <w:tcPr>
            <w:tcW w:w="784" w:type="dxa"/>
            <w:vMerge/>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1</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2</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
                <w:bCs/>
                <w:color w:val="000000"/>
                <w:sz w:val="20"/>
                <w:szCs w:val="20"/>
              </w:rPr>
              <w:t>3</w:t>
            </w:r>
          </w:p>
        </w:tc>
      </w:tr>
      <w:tr w:rsidR="00C70E85" w:rsidRPr="0033624A" w:rsidTr="00C70E85">
        <w:tc>
          <w:tcPr>
            <w:tcW w:w="2479" w:type="dxa"/>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Lagascea mollis. </w:t>
            </w:r>
            <w:r w:rsidRPr="0033624A">
              <w:rPr>
                <w:rFonts w:ascii="Times New Roman" w:eastAsia="Times New Roman" w:hAnsi="Times New Roman" w:cs="Times New Roman"/>
                <w:bCs/>
                <w:color w:val="000000"/>
                <w:sz w:val="20"/>
                <w:szCs w:val="20"/>
              </w:rPr>
              <w:t xml:space="preserve"> Cav.</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Asteraceae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Romerillo cimarrón</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Ageratum conyzoides </w:t>
            </w:r>
            <w:r w:rsidRPr="0033624A">
              <w:rPr>
                <w:rFonts w:ascii="Times New Roman" w:eastAsia="Times New Roman" w:hAnsi="Times New Roman" w:cs="Times New Roman"/>
                <w:bCs/>
                <w:color w:val="000000"/>
                <w:sz w:val="20"/>
                <w:szCs w:val="20"/>
              </w:rPr>
              <w:t>(L.)</w:t>
            </w:r>
          </w:p>
        </w:tc>
        <w:tc>
          <w:tcPr>
            <w:tcW w:w="1754"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Asteraceae</w:t>
            </w:r>
          </w:p>
        </w:tc>
        <w:tc>
          <w:tcPr>
            <w:tcW w:w="1786"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Celestina azul </w:t>
            </w:r>
          </w:p>
        </w:tc>
        <w:tc>
          <w:tcPr>
            <w:tcW w:w="92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Parthenium hysterophorus </w:t>
            </w:r>
            <w:r w:rsidRPr="0033624A">
              <w:rPr>
                <w:rFonts w:ascii="Times New Roman" w:eastAsia="Times New Roman" w:hAnsi="Times New Roman" w:cs="Times New Roman"/>
                <w:bCs/>
                <w:color w:val="000000"/>
                <w:sz w:val="20"/>
                <w:szCs w:val="20"/>
              </w:rPr>
              <w:t>L.</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Asteraceae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Escoba amarga </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r>
      <w:tr w:rsidR="00C70E85" w:rsidRPr="0033624A" w:rsidTr="00C70E85">
        <w:tc>
          <w:tcPr>
            <w:tcW w:w="2479"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Xantium chinense </w:t>
            </w:r>
            <w:r w:rsidRPr="0033624A">
              <w:rPr>
                <w:rFonts w:ascii="Times New Roman" w:eastAsia="Times New Roman" w:hAnsi="Times New Roman" w:cs="Times New Roman"/>
                <w:bCs/>
                <w:color w:val="000000"/>
                <w:sz w:val="20"/>
                <w:szCs w:val="20"/>
              </w:rPr>
              <w:t>Mill</w:t>
            </w:r>
          </w:p>
        </w:tc>
        <w:tc>
          <w:tcPr>
            <w:tcW w:w="1754"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Asteraceae</w:t>
            </w:r>
          </w:p>
        </w:tc>
        <w:tc>
          <w:tcPr>
            <w:tcW w:w="1786"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Guizazo de caballo </w:t>
            </w:r>
          </w:p>
        </w:tc>
        <w:tc>
          <w:tcPr>
            <w:tcW w:w="92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Lepidium virginicum </w:t>
            </w:r>
            <w:r w:rsidRPr="0033624A">
              <w:rPr>
                <w:rFonts w:ascii="Times New Roman" w:eastAsia="Times New Roman" w:hAnsi="Times New Roman" w:cs="Times New Roman"/>
                <w:bCs/>
                <w:color w:val="000000"/>
                <w:sz w:val="20"/>
                <w:szCs w:val="20"/>
              </w:rPr>
              <w:t>L.</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Brassicaceae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Mastuerzo </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Commelina diffusa </w:t>
            </w:r>
            <w:r w:rsidRPr="0033624A">
              <w:rPr>
                <w:rFonts w:ascii="Times New Roman" w:eastAsia="Times New Roman" w:hAnsi="Times New Roman" w:cs="Times New Roman"/>
                <w:bCs/>
                <w:color w:val="000000"/>
                <w:sz w:val="20"/>
                <w:szCs w:val="20"/>
              </w:rPr>
              <w:t>Burm. F.</w:t>
            </w:r>
          </w:p>
        </w:tc>
        <w:tc>
          <w:tcPr>
            <w:tcW w:w="1754"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Commelinacaea</w:t>
            </w:r>
          </w:p>
        </w:tc>
        <w:tc>
          <w:tcPr>
            <w:tcW w:w="1786"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Canutillo </w:t>
            </w:r>
          </w:p>
        </w:tc>
        <w:tc>
          <w:tcPr>
            <w:tcW w:w="92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P</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Cyperus rotundus </w:t>
            </w:r>
            <w:r w:rsidRPr="0033624A">
              <w:rPr>
                <w:rFonts w:ascii="Times New Roman" w:eastAsia="Times New Roman" w:hAnsi="Times New Roman" w:cs="Times New Roman"/>
                <w:bCs/>
                <w:color w:val="000000"/>
                <w:sz w:val="20"/>
                <w:szCs w:val="20"/>
              </w:rPr>
              <w:t>L.</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Cyperaceae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Cebolleta</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M</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P</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rPr>
          <w:trHeight w:val="314"/>
        </w:trPr>
        <w:tc>
          <w:tcPr>
            <w:tcW w:w="2479"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Chamaesyce</w:t>
            </w:r>
            <w:r w:rsidRPr="0033624A">
              <w:rPr>
                <w:rFonts w:ascii="Times New Roman" w:eastAsia="Times New Roman" w:hAnsi="Times New Roman" w:cs="Times New Roman"/>
                <w:bCs/>
                <w:color w:val="000000"/>
                <w:sz w:val="20"/>
                <w:szCs w:val="20"/>
              </w:rPr>
              <w:t xml:space="preserve"> </w:t>
            </w:r>
            <w:r w:rsidRPr="0033624A">
              <w:rPr>
                <w:rFonts w:ascii="Times New Roman" w:eastAsia="Times New Roman" w:hAnsi="Times New Roman" w:cs="Times New Roman"/>
                <w:bCs/>
                <w:i/>
                <w:color w:val="000000"/>
                <w:sz w:val="20"/>
                <w:szCs w:val="20"/>
              </w:rPr>
              <w:t>hirta</w:t>
            </w:r>
            <w:r w:rsidRPr="0033624A">
              <w:rPr>
                <w:rFonts w:ascii="Times New Roman" w:eastAsia="Times New Roman" w:hAnsi="Times New Roman" w:cs="Times New Roman"/>
                <w:bCs/>
                <w:color w:val="000000"/>
                <w:sz w:val="20"/>
                <w:szCs w:val="20"/>
              </w:rPr>
              <w:t xml:space="preserve"> (L.) Millsp</w:t>
            </w:r>
          </w:p>
        </w:tc>
        <w:tc>
          <w:tcPr>
            <w:tcW w:w="1754"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Euphorbiaceae</w:t>
            </w:r>
          </w:p>
        </w:tc>
        <w:tc>
          <w:tcPr>
            <w:tcW w:w="1786"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Hierba de la niña</w:t>
            </w:r>
          </w:p>
        </w:tc>
        <w:tc>
          <w:tcPr>
            <w:tcW w:w="92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Aeschynomene americana </w:t>
            </w:r>
            <w:r w:rsidRPr="0033624A">
              <w:rPr>
                <w:rFonts w:ascii="Times New Roman" w:eastAsia="Times New Roman" w:hAnsi="Times New Roman" w:cs="Times New Roman"/>
                <w:bCs/>
                <w:color w:val="000000"/>
                <w:sz w:val="20"/>
                <w:szCs w:val="20"/>
              </w:rPr>
              <w:t>L.</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Fabaceae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Tamarindillo </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i/>
                <w:color w:val="000000"/>
                <w:sz w:val="20"/>
                <w:szCs w:val="20"/>
              </w:rPr>
            </w:pPr>
            <w:r w:rsidRPr="0033624A">
              <w:rPr>
                <w:rFonts w:ascii="Times New Roman" w:eastAsia="Times New Roman" w:hAnsi="Times New Roman" w:cs="Times New Roman"/>
                <w:bCs/>
                <w:i/>
                <w:color w:val="000000"/>
                <w:sz w:val="20"/>
                <w:szCs w:val="20"/>
              </w:rPr>
              <w:t xml:space="preserve">Ludwigia erecta </w:t>
            </w:r>
            <w:r w:rsidRPr="0033624A">
              <w:rPr>
                <w:rFonts w:ascii="Times New Roman" w:eastAsia="Times New Roman" w:hAnsi="Times New Roman" w:cs="Times New Roman"/>
                <w:bCs/>
                <w:color w:val="000000"/>
                <w:sz w:val="20"/>
                <w:szCs w:val="20"/>
              </w:rPr>
              <w:t>(L.) H.Hara</w:t>
            </w:r>
            <w:r w:rsidRPr="0033624A">
              <w:rPr>
                <w:rFonts w:ascii="Times New Roman" w:eastAsia="Times New Roman" w:hAnsi="Times New Roman" w:cs="Times New Roman"/>
                <w:bCs/>
                <w:i/>
                <w:color w:val="000000"/>
                <w:sz w:val="20"/>
                <w:szCs w:val="20"/>
              </w:rPr>
              <w:t xml:space="preserve">. </w:t>
            </w:r>
          </w:p>
        </w:tc>
        <w:tc>
          <w:tcPr>
            <w:tcW w:w="1754"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Onagraceae</w:t>
            </w:r>
          </w:p>
        </w:tc>
        <w:tc>
          <w:tcPr>
            <w:tcW w:w="1786"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Clavellina</w:t>
            </w:r>
          </w:p>
        </w:tc>
        <w:tc>
          <w:tcPr>
            <w:tcW w:w="92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shd w:val="clear" w:color="auto" w:fill="auto"/>
          </w:tcPr>
          <w:p w:rsidR="00C70E85" w:rsidRPr="0033624A" w:rsidRDefault="00C70E85" w:rsidP="00020FA7">
            <w:pPr>
              <w:rPr>
                <w:rFonts w:ascii="Times New Roman" w:eastAsia="Times New Roman" w:hAnsi="Times New Roman" w:cs="Times New Roman"/>
                <w:b/>
                <w:bCs/>
                <w:i/>
                <w:color w:val="000000"/>
                <w:sz w:val="20"/>
                <w:szCs w:val="20"/>
              </w:rPr>
            </w:pPr>
            <w:r w:rsidRPr="0033624A">
              <w:rPr>
                <w:rFonts w:ascii="Times New Roman" w:eastAsia="Times New Roman" w:hAnsi="Times New Roman" w:cs="Times New Roman"/>
                <w:bCs/>
                <w:i/>
                <w:color w:val="000000"/>
                <w:sz w:val="20"/>
                <w:szCs w:val="20"/>
              </w:rPr>
              <w:t xml:space="preserve">Echinochloa colona </w:t>
            </w:r>
            <w:r w:rsidRPr="0033624A">
              <w:rPr>
                <w:rFonts w:ascii="Times New Roman" w:eastAsia="Times New Roman" w:hAnsi="Times New Roman" w:cs="Times New Roman"/>
                <w:bCs/>
                <w:color w:val="000000"/>
                <w:sz w:val="20"/>
                <w:szCs w:val="20"/>
              </w:rPr>
              <w:t>(L.) Link.</w:t>
            </w:r>
            <w:r w:rsidRPr="0033624A">
              <w:rPr>
                <w:rFonts w:ascii="Times New Roman" w:eastAsia="Times New Roman" w:hAnsi="Times New Roman" w:cs="Times New Roman"/>
                <w:bCs/>
                <w:i/>
                <w:color w:val="000000"/>
                <w:sz w:val="20"/>
                <w:szCs w:val="20"/>
              </w:rPr>
              <w:t xml:space="preserve"> </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Poaceae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Metebravo </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M</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i/>
                <w:color w:val="000000"/>
                <w:sz w:val="20"/>
                <w:szCs w:val="20"/>
              </w:rPr>
            </w:pPr>
            <w:r w:rsidRPr="0033624A">
              <w:rPr>
                <w:rFonts w:ascii="Times New Roman" w:eastAsia="Times New Roman" w:hAnsi="Times New Roman" w:cs="Times New Roman"/>
                <w:bCs/>
                <w:i/>
                <w:color w:val="000000"/>
                <w:sz w:val="20"/>
                <w:szCs w:val="20"/>
              </w:rPr>
              <w:t xml:space="preserve">Eleusine indica </w:t>
            </w:r>
            <w:r w:rsidRPr="0033624A">
              <w:rPr>
                <w:rFonts w:ascii="Times New Roman" w:eastAsia="Times New Roman" w:hAnsi="Times New Roman" w:cs="Times New Roman"/>
                <w:bCs/>
                <w:color w:val="000000"/>
                <w:sz w:val="20"/>
                <w:szCs w:val="20"/>
              </w:rPr>
              <w:t>(L.) Gaertn.</w:t>
            </w:r>
            <w:r w:rsidRPr="0033624A">
              <w:rPr>
                <w:rFonts w:ascii="Times New Roman" w:eastAsia="Times New Roman" w:hAnsi="Times New Roman" w:cs="Times New Roman"/>
                <w:bCs/>
                <w:i/>
                <w:color w:val="000000"/>
                <w:sz w:val="20"/>
                <w:szCs w:val="20"/>
              </w:rPr>
              <w:t xml:space="preserve"> </w:t>
            </w:r>
          </w:p>
        </w:tc>
        <w:tc>
          <w:tcPr>
            <w:tcW w:w="1754"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Poaceae</w:t>
            </w:r>
          </w:p>
        </w:tc>
        <w:tc>
          <w:tcPr>
            <w:tcW w:w="1786"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Pata de gallina </w:t>
            </w:r>
          </w:p>
        </w:tc>
        <w:tc>
          <w:tcPr>
            <w:tcW w:w="92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M</w:t>
            </w:r>
          </w:p>
        </w:tc>
        <w:tc>
          <w:tcPr>
            <w:tcW w:w="78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Digitaria ciliaris </w:t>
            </w:r>
            <w:r w:rsidRPr="0033624A">
              <w:rPr>
                <w:rFonts w:ascii="Times New Roman" w:eastAsia="Times New Roman" w:hAnsi="Times New Roman" w:cs="Times New Roman"/>
                <w:bCs/>
                <w:color w:val="000000"/>
                <w:sz w:val="20"/>
                <w:szCs w:val="20"/>
              </w:rPr>
              <w:t>(Retz) Koeler</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Poaceae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Don J. de Castilla</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M</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r>
      <w:tr w:rsidR="00C70E85" w:rsidRPr="0033624A" w:rsidTr="00C70E85">
        <w:tc>
          <w:tcPr>
            <w:tcW w:w="2479"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 xml:space="preserve">Sorghum halepense </w:t>
            </w:r>
            <w:r w:rsidRPr="0033624A">
              <w:rPr>
                <w:rFonts w:ascii="Times New Roman" w:eastAsia="Times New Roman" w:hAnsi="Times New Roman" w:cs="Times New Roman"/>
                <w:bCs/>
                <w:color w:val="000000"/>
                <w:sz w:val="20"/>
                <w:szCs w:val="20"/>
              </w:rPr>
              <w:t>(L.) Pers.</w:t>
            </w:r>
          </w:p>
        </w:tc>
        <w:tc>
          <w:tcPr>
            <w:tcW w:w="1754"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Poaceae</w:t>
            </w:r>
          </w:p>
        </w:tc>
        <w:tc>
          <w:tcPr>
            <w:tcW w:w="1786"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Don Carlos</w:t>
            </w:r>
          </w:p>
        </w:tc>
        <w:tc>
          <w:tcPr>
            <w:tcW w:w="92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M</w:t>
            </w:r>
          </w:p>
        </w:tc>
        <w:tc>
          <w:tcPr>
            <w:tcW w:w="784" w:type="dxa"/>
            <w:tcBorders>
              <w:top w:val="single" w:sz="4" w:space="0" w:color="7F7F7F"/>
              <w:bottom w:val="single" w:sz="4" w:space="0" w:color="7F7F7F"/>
            </w:tcBorders>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P</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tcBorders>
              <w:top w:val="single" w:sz="4" w:space="0" w:color="7F7F7F"/>
              <w:bottom w:val="single" w:sz="4" w:space="0" w:color="7F7F7F"/>
            </w:tcBorders>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r w:rsidR="00C70E85" w:rsidRPr="0033624A" w:rsidTr="00C70E85">
        <w:tc>
          <w:tcPr>
            <w:tcW w:w="2479" w:type="dxa"/>
            <w:shd w:val="clear" w:color="auto" w:fill="auto"/>
          </w:tcPr>
          <w:p w:rsidR="00C70E85" w:rsidRPr="0033624A" w:rsidRDefault="00C70E85" w:rsidP="00020FA7">
            <w:pPr>
              <w:ind w:right="-361"/>
              <w:rPr>
                <w:rFonts w:ascii="Times New Roman" w:eastAsia="Times New Roman" w:hAnsi="Times New Roman" w:cs="Times New Roman"/>
                <w:b/>
                <w:bCs/>
                <w:color w:val="000000"/>
                <w:sz w:val="20"/>
                <w:szCs w:val="20"/>
              </w:rPr>
            </w:pPr>
            <w:r w:rsidRPr="0033624A">
              <w:rPr>
                <w:rFonts w:ascii="Times New Roman" w:eastAsia="Times New Roman" w:hAnsi="Times New Roman" w:cs="Times New Roman"/>
                <w:bCs/>
                <w:i/>
                <w:color w:val="000000"/>
                <w:sz w:val="20"/>
                <w:szCs w:val="20"/>
              </w:rPr>
              <w:t>Portulaca oleraceae</w:t>
            </w:r>
            <w:r w:rsidRPr="0033624A">
              <w:rPr>
                <w:rFonts w:ascii="Times New Roman" w:eastAsia="Times New Roman" w:hAnsi="Times New Roman" w:cs="Times New Roman"/>
                <w:bCs/>
                <w:color w:val="000000"/>
                <w:sz w:val="20"/>
                <w:szCs w:val="20"/>
              </w:rPr>
              <w:t xml:space="preserve"> L.</w:t>
            </w:r>
          </w:p>
        </w:tc>
        <w:tc>
          <w:tcPr>
            <w:tcW w:w="1754" w:type="dxa"/>
            <w:shd w:val="clear" w:color="auto" w:fill="auto"/>
          </w:tcPr>
          <w:p w:rsidR="00C70E85" w:rsidRPr="0033624A" w:rsidRDefault="00C70E85" w:rsidP="00020FA7">
            <w:pPr>
              <w:rPr>
                <w:rFonts w:ascii="Times New Roman" w:eastAsia="Times New Roman" w:hAnsi="Times New Roman" w:cs="Times New Roman"/>
                <w:bCs/>
                <w:i/>
                <w:color w:val="000000"/>
                <w:sz w:val="20"/>
                <w:szCs w:val="20"/>
              </w:rPr>
            </w:pPr>
            <w:r w:rsidRPr="0033624A">
              <w:rPr>
                <w:rFonts w:ascii="Times New Roman" w:eastAsia="Times New Roman" w:hAnsi="Times New Roman" w:cs="Times New Roman"/>
                <w:bCs/>
                <w:i/>
                <w:color w:val="000000"/>
                <w:sz w:val="20"/>
                <w:szCs w:val="20"/>
              </w:rPr>
              <w:t>Portulacaceae</w:t>
            </w:r>
          </w:p>
        </w:tc>
        <w:tc>
          <w:tcPr>
            <w:tcW w:w="1786"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 xml:space="preserve">Verdolaga </w:t>
            </w:r>
          </w:p>
        </w:tc>
        <w:tc>
          <w:tcPr>
            <w:tcW w:w="92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D</w:t>
            </w:r>
          </w:p>
        </w:tc>
        <w:tc>
          <w:tcPr>
            <w:tcW w:w="784" w:type="dxa"/>
            <w:shd w:val="clear" w:color="auto" w:fill="auto"/>
          </w:tcPr>
          <w:p w:rsidR="00C70E85" w:rsidRPr="0033624A" w:rsidRDefault="00C70E85" w:rsidP="00020FA7">
            <w:pPr>
              <w:jc w:val="cente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A</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c>
          <w:tcPr>
            <w:tcW w:w="331" w:type="dxa"/>
            <w:shd w:val="clear" w:color="auto" w:fill="auto"/>
          </w:tcPr>
          <w:p w:rsidR="00C70E85" w:rsidRPr="0033624A" w:rsidRDefault="00C70E85" w:rsidP="00020FA7">
            <w:pPr>
              <w:rPr>
                <w:rFonts w:ascii="Times New Roman" w:eastAsia="Times New Roman" w:hAnsi="Times New Roman" w:cs="Times New Roman"/>
                <w:bCs/>
                <w:color w:val="000000"/>
                <w:sz w:val="20"/>
                <w:szCs w:val="20"/>
              </w:rPr>
            </w:pPr>
            <w:r w:rsidRPr="0033624A">
              <w:rPr>
                <w:rFonts w:ascii="Times New Roman" w:eastAsia="Times New Roman" w:hAnsi="Times New Roman" w:cs="Times New Roman"/>
                <w:bCs/>
                <w:color w:val="000000"/>
                <w:sz w:val="20"/>
                <w:szCs w:val="20"/>
              </w:rPr>
              <w:t>x</w:t>
            </w:r>
          </w:p>
        </w:tc>
      </w:tr>
    </w:tbl>
    <w:p w:rsidR="00C70E85" w:rsidRDefault="00C70E85" w:rsidP="00C70E85">
      <w:pPr>
        <w:spacing w:after="0" w:line="360" w:lineRule="auto"/>
        <w:jc w:val="center"/>
        <w:rPr>
          <w:rFonts w:ascii="Times New Roman" w:hAnsi="Times New Roman" w:cs="Times New Roman"/>
          <w:sz w:val="20"/>
          <w:szCs w:val="20"/>
        </w:rPr>
      </w:pPr>
      <w:r w:rsidRPr="00C70E85">
        <w:rPr>
          <w:rFonts w:ascii="Times New Roman" w:hAnsi="Times New Roman" w:cs="Times New Roman"/>
          <w:b/>
          <w:sz w:val="20"/>
          <w:szCs w:val="20"/>
        </w:rPr>
        <w:lastRenderedPageBreak/>
        <w:t>Leyenda:</w:t>
      </w:r>
      <w:r w:rsidRPr="00C70E85">
        <w:rPr>
          <w:rFonts w:ascii="Times New Roman" w:hAnsi="Times New Roman" w:cs="Times New Roman"/>
          <w:sz w:val="20"/>
          <w:szCs w:val="20"/>
        </w:rPr>
        <w:t xml:space="preserve"> M: Monocotiledónea; D: Dicotiledónea; A: Anual; P: Perenne. Tratam. (Tratamientos): 1- control de arvenses hasta los 60 días después de la siembra; 2- control de arvenses hasta los 40 días después de la siembra; 3- control de arvenses entre los 40 y 60 días después de la siembra.</w:t>
      </w:r>
    </w:p>
    <w:p w:rsidR="00C70E85" w:rsidRP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El análisis de la composición de la comunidad de arvenses según su ciclo de vida reveló que hubo una mayor incidencia de especies anuales, se registraron en total 12 especies con este ciclo para un 80 % (Tabla </w:t>
      </w:r>
      <w:r w:rsidR="002D747A">
        <w:rPr>
          <w:rFonts w:ascii="Times New Roman" w:hAnsi="Times New Roman" w:cs="Times New Roman"/>
          <w:sz w:val="24"/>
          <w:szCs w:val="24"/>
        </w:rPr>
        <w:t>1</w:t>
      </w:r>
      <w:r w:rsidRPr="00C70E85">
        <w:rPr>
          <w:rFonts w:ascii="Times New Roman" w:hAnsi="Times New Roman" w:cs="Times New Roman"/>
          <w:sz w:val="24"/>
          <w:szCs w:val="24"/>
        </w:rPr>
        <w:t>). Según Rodríguez et al. (2013) el predominio de las especies anuales puede estar dado por la utilización del sistema convencional de labores en la preparación de suelo. Cuando se emplea este sistema se exponen constantemente las semillas de las arvenses a la superficie facilitando su germinación. A la vez, las especies perennes se ven afectadas por la repetida inversión del prisma que expone constantemente los órganos subterráneos (rizomas, estolones, tubérculos, entre otros) a la acción de los rayos solares provocando su desecación.</w:t>
      </w:r>
    </w:p>
    <w:p w:rsidR="00C70E85" w:rsidRDefault="00C70E85" w:rsidP="00C70E85">
      <w:pPr>
        <w:spacing w:after="0" w:line="360" w:lineRule="auto"/>
        <w:jc w:val="both"/>
        <w:rPr>
          <w:rFonts w:ascii="Times New Roman" w:hAnsi="Times New Roman" w:cs="Times New Roman"/>
          <w:sz w:val="24"/>
          <w:szCs w:val="24"/>
        </w:rPr>
      </w:pPr>
      <w:r w:rsidRPr="00C70E85">
        <w:rPr>
          <w:rFonts w:ascii="Times New Roman" w:hAnsi="Times New Roman" w:cs="Times New Roman"/>
          <w:sz w:val="24"/>
          <w:szCs w:val="24"/>
        </w:rPr>
        <w:t xml:space="preserve">En las familias </w:t>
      </w:r>
      <w:r w:rsidRPr="0033624A">
        <w:rPr>
          <w:rFonts w:ascii="Times New Roman" w:hAnsi="Times New Roman" w:cs="Times New Roman"/>
          <w:i/>
          <w:sz w:val="24"/>
          <w:szCs w:val="24"/>
        </w:rPr>
        <w:t>Poaceae</w:t>
      </w:r>
      <w:r w:rsidRPr="00C70E85">
        <w:rPr>
          <w:rFonts w:ascii="Times New Roman" w:hAnsi="Times New Roman" w:cs="Times New Roman"/>
          <w:sz w:val="24"/>
          <w:szCs w:val="24"/>
        </w:rPr>
        <w:t xml:space="preserve"> y </w:t>
      </w:r>
      <w:r w:rsidRPr="0033624A">
        <w:rPr>
          <w:rFonts w:ascii="Times New Roman" w:hAnsi="Times New Roman" w:cs="Times New Roman"/>
          <w:i/>
          <w:sz w:val="24"/>
          <w:szCs w:val="24"/>
        </w:rPr>
        <w:t>Asteraceae</w:t>
      </w:r>
      <w:r w:rsidRPr="00C70E85">
        <w:rPr>
          <w:rFonts w:ascii="Times New Roman" w:hAnsi="Times New Roman" w:cs="Times New Roman"/>
          <w:sz w:val="24"/>
          <w:szCs w:val="24"/>
        </w:rPr>
        <w:t xml:space="preserve">, que estuvieron presentes en todos los tratamientos, se registraron el mayor número de especies arvenses (Tabla </w:t>
      </w:r>
      <w:r w:rsidR="002D747A">
        <w:rPr>
          <w:rFonts w:ascii="Times New Roman" w:hAnsi="Times New Roman" w:cs="Times New Roman"/>
          <w:sz w:val="24"/>
          <w:szCs w:val="24"/>
        </w:rPr>
        <w:t>1</w:t>
      </w:r>
      <w:r w:rsidRPr="00C70E85">
        <w:rPr>
          <w:rFonts w:ascii="Times New Roman" w:hAnsi="Times New Roman" w:cs="Times New Roman"/>
          <w:sz w:val="24"/>
          <w:szCs w:val="24"/>
        </w:rPr>
        <w:t>). Resultados similares obtuvieron Rodríguez et al. (2013), en investigación sobre las arvenses en las áreas de producción de frijol común en las provincias de Artemisa y Mayabeque, donde también estas dos familias fueron las más representadas. En las restantes siete familias solo se registró una especie en cada una. Además, cinco de estas familias estuvieron presentes en todos los tratamientos. (Figura 1).</w:t>
      </w:r>
    </w:p>
    <w:p w:rsidR="00C70E85" w:rsidRPr="00C70E85" w:rsidRDefault="00C70E85" w:rsidP="00C70E85">
      <w:pPr>
        <w:spacing w:after="0" w:line="360" w:lineRule="auto"/>
        <w:jc w:val="both"/>
        <w:rPr>
          <w:rFonts w:ascii="Times New Roman" w:hAnsi="Times New Roman" w:cs="Times New Roman"/>
          <w:sz w:val="24"/>
          <w:szCs w:val="24"/>
        </w:rPr>
      </w:pPr>
      <w:r w:rsidRPr="00C13A1C">
        <w:rPr>
          <w:rFonts w:ascii="Times New Roman" w:hAnsi="Times New Roman"/>
          <w:b/>
          <w:noProof/>
          <w:color w:val="000000"/>
          <w:sz w:val="20"/>
          <w:szCs w:val="20"/>
          <w:lang w:val="es-ES_tradnl" w:eastAsia="es-ES_tradnl"/>
        </w:rPr>
        <w:drawing>
          <wp:inline distT="0" distB="0" distL="0" distR="0">
            <wp:extent cx="5400040" cy="1965204"/>
            <wp:effectExtent l="0" t="0" r="0" b="0"/>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C70E85" w:rsidRPr="00C70E85" w:rsidRDefault="00C70E85" w:rsidP="00C70E85">
      <w:pPr>
        <w:spacing w:after="0" w:line="360" w:lineRule="auto"/>
        <w:jc w:val="center"/>
        <w:rPr>
          <w:rFonts w:ascii="Times New Roman" w:hAnsi="Times New Roman" w:cs="Times New Roman"/>
          <w:sz w:val="20"/>
          <w:szCs w:val="20"/>
        </w:rPr>
      </w:pPr>
      <w:r w:rsidRPr="00C70E85">
        <w:rPr>
          <w:rFonts w:ascii="Times New Roman" w:hAnsi="Times New Roman" w:cs="Times New Roman"/>
          <w:b/>
          <w:sz w:val="20"/>
          <w:szCs w:val="20"/>
        </w:rPr>
        <w:t>Figura 1.</w:t>
      </w:r>
      <w:r w:rsidRPr="00C70E85">
        <w:rPr>
          <w:rFonts w:ascii="Times New Roman" w:hAnsi="Times New Roman" w:cs="Times New Roman"/>
          <w:sz w:val="20"/>
          <w:szCs w:val="20"/>
        </w:rPr>
        <w:t xml:space="preserve"> Porcentajes de aparición de las familias botánicas registradas como arvenses en los tres tratamientos en el cultivo del frijol</w:t>
      </w:r>
    </w:p>
    <w:p w:rsidR="00C70E85" w:rsidRPr="0061525A" w:rsidRDefault="0061525A" w:rsidP="00C70E85">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3.2 </w:t>
      </w:r>
      <w:r w:rsidR="00C70E85" w:rsidRPr="0061525A">
        <w:rPr>
          <w:rFonts w:ascii="Times New Roman" w:hAnsi="Times New Roman" w:cs="Times New Roman"/>
          <w:b/>
          <w:sz w:val="24"/>
          <w:szCs w:val="24"/>
        </w:rPr>
        <w:t>Determinación de los índices ecológicos de las poblaciones de arvenses</w:t>
      </w:r>
    </w:p>
    <w:p w:rsidR="002D747A" w:rsidRDefault="00C70E85" w:rsidP="00C70E85">
      <w:pPr>
        <w:spacing w:after="0" w:line="360" w:lineRule="auto"/>
        <w:rPr>
          <w:rFonts w:ascii="Times New Roman" w:hAnsi="Times New Roman" w:cs="Times New Roman"/>
          <w:sz w:val="24"/>
          <w:szCs w:val="24"/>
        </w:rPr>
      </w:pPr>
      <w:r w:rsidRPr="00C70E85">
        <w:rPr>
          <w:rFonts w:ascii="Times New Roman" w:hAnsi="Times New Roman" w:cs="Times New Roman"/>
          <w:sz w:val="24"/>
          <w:szCs w:val="24"/>
        </w:rPr>
        <w:t>E</w:t>
      </w:r>
      <w:r w:rsidR="002D747A">
        <w:rPr>
          <w:rFonts w:ascii="Times New Roman" w:hAnsi="Times New Roman" w:cs="Times New Roman"/>
          <w:sz w:val="24"/>
          <w:szCs w:val="24"/>
        </w:rPr>
        <w:t>n el</w:t>
      </w:r>
      <w:r w:rsidRPr="00C70E85">
        <w:rPr>
          <w:rFonts w:ascii="Times New Roman" w:hAnsi="Times New Roman" w:cs="Times New Roman"/>
          <w:sz w:val="24"/>
          <w:szCs w:val="24"/>
        </w:rPr>
        <w:t xml:space="preserve"> análisis de la composición florística </w:t>
      </w:r>
      <w:r w:rsidR="002D747A">
        <w:rPr>
          <w:rFonts w:ascii="Times New Roman" w:hAnsi="Times New Roman" w:cs="Times New Roman"/>
          <w:sz w:val="24"/>
          <w:szCs w:val="24"/>
        </w:rPr>
        <w:t>se determinó que l</w:t>
      </w:r>
      <w:r w:rsidRPr="00C70E85">
        <w:rPr>
          <w:rFonts w:ascii="Times New Roman" w:hAnsi="Times New Roman" w:cs="Times New Roman"/>
          <w:sz w:val="24"/>
          <w:szCs w:val="24"/>
        </w:rPr>
        <w:t xml:space="preserve">as especies </w:t>
      </w:r>
      <w:r w:rsidRPr="0033624A">
        <w:rPr>
          <w:rFonts w:ascii="Times New Roman" w:hAnsi="Times New Roman" w:cs="Times New Roman"/>
          <w:i/>
          <w:sz w:val="24"/>
          <w:szCs w:val="24"/>
        </w:rPr>
        <w:t>P. oleraceae</w:t>
      </w:r>
      <w:r w:rsidRPr="00C70E85">
        <w:rPr>
          <w:rFonts w:ascii="Times New Roman" w:hAnsi="Times New Roman" w:cs="Times New Roman"/>
          <w:sz w:val="24"/>
          <w:szCs w:val="24"/>
        </w:rPr>
        <w:t xml:space="preserve">, </w:t>
      </w:r>
      <w:r w:rsidRPr="0033624A">
        <w:rPr>
          <w:rFonts w:ascii="Times New Roman" w:hAnsi="Times New Roman" w:cs="Times New Roman"/>
          <w:i/>
          <w:sz w:val="24"/>
          <w:szCs w:val="24"/>
        </w:rPr>
        <w:t>E. colona</w:t>
      </w:r>
      <w:r w:rsidRPr="00C70E85">
        <w:rPr>
          <w:rFonts w:ascii="Times New Roman" w:hAnsi="Times New Roman" w:cs="Times New Roman"/>
          <w:sz w:val="24"/>
          <w:szCs w:val="24"/>
        </w:rPr>
        <w:t xml:space="preserve">, </w:t>
      </w:r>
      <w:r w:rsidRPr="0033624A">
        <w:rPr>
          <w:rFonts w:ascii="Times New Roman" w:hAnsi="Times New Roman" w:cs="Times New Roman"/>
          <w:i/>
          <w:sz w:val="24"/>
          <w:szCs w:val="24"/>
        </w:rPr>
        <w:t>L. virginicum</w:t>
      </w:r>
      <w:r w:rsidRPr="00C70E85">
        <w:rPr>
          <w:rFonts w:ascii="Times New Roman" w:hAnsi="Times New Roman" w:cs="Times New Roman"/>
          <w:sz w:val="24"/>
          <w:szCs w:val="24"/>
        </w:rPr>
        <w:t xml:space="preserve">, </w:t>
      </w:r>
      <w:r w:rsidRPr="0033624A">
        <w:rPr>
          <w:rFonts w:ascii="Times New Roman" w:hAnsi="Times New Roman" w:cs="Times New Roman"/>
          <w:i/>
          <w:sz w:val="24"/>
          <w:szCs w:val="24"/>
        </w:rPr>
        <w:t>L. mollis</w:t>
      </w:r>
      <w:r w:rsidRPr="00C70E85">
        <w:rPr>
          <w:rFonts w:ascii="Times New Roman" w:hAnsi="Times New Roman" w:cs="Times New Roman"/>
          <w:sz w:val="24"/>
          <w:szCs w:val="24"/>
        </w:rPr>
        <w:t xml:space="preserve">, </w:t>
      </w:r>
      <w:r w:rsidRPr="0033624A">
        <w:rPr>
          <w:rFonts w:ascii="Times New Roman" w:hAnsi="Times New Roman" w:cs="Times New Roman"/>
          <w:i/>
          <w:sz w:val="24"/>
          <w:szCs w:val="24"/>
        </w:rPr>
        <w:t>E. indica</w:t>
      </w:r>
      <w:r w:rsidRPr="00C70E85">
        <w:rPr>
          <w:rFonts w:ascii="Times New Roman" w:hAnsi="Times New Roman" w:cs="Times New Roman"/>
          <w:sz w:val="24"/>
          <w:szCs w:val="24"/>
        </w:rPr>
        <w:t xml:space="preserve">, </w:t>
      </w:r>
      <w:r w:rsidRPr="0033624A">
        <w:rPr>
          <w:rFonts w:ascii="Times New Roman" w:hAnsi="Times New Roman" w:cs="Times New Roman"/>
          <w:i/>
          <w:sz w:val="24"/>
          <w:szCs w:val="24"/>
        </w:rPr>
        <w:t>C. diffusa</w:t>
      </w:r>
      <w:r w:rsidRPr="00C70E85">
        <w:rPr>
          <w:rFonts w:ascii="Times New Roman" w:hAnsi="Times New Roman" w:cs="Times New Roman"/>
          <w:sz w:val="24"/>
          <w:szCs w:val="24"/>
        </w:rPr>
        <w:t xml:space="preserve">, </w:t>
      </w:r>
      <w:r w:rsidRPr="0033624A">
        <w:rPr>
          <w:rFonts w:ascii="Times New Roman" w:hAnsi="Times New Roman" w:cs="Times New Roman"/>
          <w:i/>
          <w:sz w:val="24"/>
          <w:szCs w:val="24"/>
        </w:rPr>
        <w:t>C. rotundus</w:t>
      </w:r>
      <w:r w:rsidRPr="00C70E85">
        <w:rPr>
          <w:rFonts w:ascii="Times New Roman" w:hAnsi="Times New Roman" w:cs="Times New Roman"/>
          <w:sz w:val="24"/>
          <w:szCs w:val="24"/>
        </w:rPr>
        <w:t xml:space="preserve"> y </w:t>
      </w:r>
      <w:r w:rsidRPr="0033624A">
        <w:rPr>
          <w:rFonts w:ascii="Times New Roman" w:hAnsi="Times New Roman" w:cs="Times New Roman"/>
          <w:i/>
          <w:sz w:val="24"/>
          <w:szCs w:val="24"/>
        </w:rPr>
        <w:t>C. hirta</w:t>
      </w:r>
      <w:r w:rsidRPr="00C70E85">
        <w:rPr>
          <w:rFonts w:ascii="Times New Roman" w:hAnsi="Times New Roman" w:cs="Times New Roman"/>
          <w:sz w:val="24"/>
          <w:szCs w:val="24"/>
        </w:rPr>
        <w:t xml:space="preserve"> estuvieron </w:t>
      </w:r>
      <w:r w:rsidRPr="00C70E85">
        <w:rPr>
          <w:rFonts w:ascii="Times New Roman" w:hAnsi="Times New Roman" w:cs="Times New Roman"/>
          <w:sz w:val="24"/>
          <w:szCs w:val="24"/>
        </w:rPr>
        <w:lastRenderedPageBreak/>
        <w:t>presentes en todos los tratamientos. Por su parte, las especies A. conyzoides, L. erecta y S. halepense se presentaron en dos tratamiento</w:t>
      </w:r>
      <w:r w:rsidR="002D747A">
        <w:rPr>
          <w:rFonts w:ascii="Times New Roman" w:hAnsi="Times New Roman" w:cs="Times New Roman"/>
          <w:sz w:val="24"/>
          <w:szCs w:val="24"/>
        </w:rPr>
        <w:t>s.</w:t>
      </w:r>
    </w:p>
    <w:p w:rsidR="00A519F2" w:rsidRPr="0061525A" w:rsidRDefault="00A519F2" w:rsidP="00A519F2">
      <w:pPr>
        <w:spacing w:after="0" w:line="360" w:lineRule="auto"/>
        <w:jc w:val="both"/>
        <w:rPr>
          <w:rFonts w:ascii="Times New Roman" w:hAnsi="Times New Roman" w:cs="Times New Roman"/>
          <w:b/>
          <w:sz w:val="24"/>
          <w:szCs w:val="24"/>
        </w:rPr>
      </w:pPr>
      <w:r w:rsidRPr="0061525A">
        <w:rPr>
          <w:rFonts w:ascii="Times New Roman" w:hAnsi="Times New Roman" w:cs="Times New Roman"/>
          <w:b/>
          <w:sz w:val="24"/>
          <w:szCs w:val="24"/>
        </w:rPr>
        <w:t>Abundancia relativa (Ar)</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Las especies de arvenses con mayor Abundancia relativa en todos los tratamientos fueron </w:t>
      </w:r>
      <w:r w:rsidRPr="009477E0">
        <w:rPr>
          <w:rFonts w:ascii="Times New Roman" w:hAnsi="Times New Roman" w:cs="Times New Roman"/>
          <w:i/>
          <w:sz w:val="24"/>
          <w:szCs w:val="24"/>
        </w:rPr>
        <w:t>E. colona</w:t>
      </w:r>
      <w:r w:rsidRPr="00A519F2">
        <w:rPr>
          <w:rFonts w:ascii="Times New Roman" w:hAnsi="Times New Roman" w:cs="Times New Roman"/>
          <w:sz w:val="24"/>
          <w:szCs w:val="24"/>
        </w:rPr>
        <w:t xml:space="preserve"> y </w:t>
      </w:r>
      <w:r w:rsidRPr="009477E0">
        <w:rPr>
          <w:rFonts w:ascii="Times New Roman" w:hAnsi="Times New Roman" w:cs="Times New Roman"/>
          <w:i/>
          <w:sz w:val="24"/>
          <w:szCs w:val="24"/>
        </w:rPr>
        <w:t>P. oleraceae</w:t>
      </w:r>
      <w:r w:rsidRPr="00A519F2">
        <w:rPr>
          <w:rFonts w:ascii="Times New Roman" w:hAnsi="Times New Roman" w:cs="Times New Roman"/>
          <w:sz w:val="24"/>
          <w:szCs w:val="24"/>
        </w:rPr>
        <w:t xml:space="preserve"> (Figura </w:t>
      </w:r>
      <w:r w:rsidR="009477E0">
        <w:rPr>
          <w:rFonts w:ascii="Times New Roman" w:hAnsi="Times New Roman" w:cs="Times New Roman"/>
          <w:sz w:val="24"/>
          <w:szCs w:val="24"/>
        </w:rPr>
        <w:t>2</w:t>
      </w:r>
      <w:r w:rsidRPr="00A519F2">
        <w:rPr>
          <w:rFonts w:ascii="Times New Roman" w:hAnsi="Times New Roman" w:cs="Times New Roman"/>
          <w:sz w:val="24"/>
          <w:szCs w:val="24"/>
        </w:rPr>
        <w:t xml:space="preserve">). Estas especies fueron reportadas con predominio a nivel de campo por Rodríguez et al. (2013). </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La Abundancia relativa de </w:t>
      </w:r>
      <w:r w:rsidRPr="009477E0">
        <w:rPr>
          <w:rFonts w:ascii="Times New Roman" w:hAnsi="Times New Roman" w:cs="Times New Roman"/>
          <w:i/>
          <w:sz w:val="24"/>
          <w:szCs w:val="24"/>
        </w:rPr>
        <w:t>E. colona</w:t>
      </w:r>
      <w:r w:rsidRPr="00A519F2">
        <w:rPr>
          <w:rFonts w:ascii="Times New Roman" w:hAnsi="Times New Roman" w:cs="Times New Roman"/>
          <w:sz w:val="24"/>
          <w:szCs w:val="24"/>
        </w:rPr>
        <w:t xml:space="preserve"> en el experimento pudo estar dada por varios factores, entre otros, por la rapidez con que alcanzan su estado reproductivo (apenas 45 días), por la producción de miles de semillas mediante las cuales se multiplica, las que emergen de forma escalonada facilitando su permanencia constante en el cultivo si no es bien controlada (Fuentes, 1991). Las semillas de esta arvense poseen una viabilidad alta que se aproxima al 92 %, y su período de dormancia es muy breve.</w:t>
      </w:r>
    </w:p>
    <w:p w:rsidR="00C70E85"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La presencia de </w:t>
      </w:r>
      <w:r w:rsidRPr="009477E0">
        <w:rPr>
          <w:rFonts w:ascii="Times New Roman" w:hAnsi="Times New Roman" w:cs="Times New Roman"/>
          <w:i/>
          <w:sz w:val="24"/>
          <w:szCs w:val="24"/>
        </w:rPr>
        <w:t>P. oleraceae</w:t>
      </w:r>
      <w:r w:rsidRPr="00A519F2">
        <w:rPr>
          <w:rFonts w:ascii="Times New Roman" w:hAnsi="Times New Roman" w:cs="Times New Roman"/>
          <w:sz w:val="24"/>
          <w:szCs w:val="24"/>
        </w:rPr>
        <w:t xml:space="preserve"> como una de las especies con mayor Abundancia relativa pudo estar dada por su alta producción de semillas calculada en 10 000 al año por planta. Según Rodríguez (2014), esta arvense posee una excelente capacidad para rebrotar a partir de fragmentos de tallos, además, sometida a una disminución de la intensidad luminosa del 50 % alcanza su mayor crecimiento, característica que le permite desarrollarse en las condiciones de sombreado ofrecidas por el follaje del frijol. Esta especie se encuentra entre las 100 más nocivas para los cultivos.</w:t>
      </w:r>
    </w:p>
    <w:p w:rsidR="00A519F2" w:rsidRDefault="004520C6" w:rsidP="00A519F2">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s-ES_tradnl" w:eastAsia="es-ES_tradnl"/>
        </w:rPr>
        <w:pict>
          <v:shapetype id="_x0000_t202" coordsize="21600,21600" o:spt="202" path="m,l,21600r21600,l21600,xe">
            <v:stroke joinstyle="miter"/>
            <v:path gradientshapeok="t" o:connecttype="rect"/>
          </v:shapetype>
          <v:shape id="Cuadro de texto 2" o:spid="_x0000_s1027" type="#_x0000_t202" style="position:absolute;left:0;text-align:left;margin-left:-32.55pt;margin-top:260.7pt;width:500.25pt;height:64.95pt;z-index:251658240;visibility:visible;mso-height-percent:200;mso-wrap-distance-top:3.6pt;mso-wrap-distance-bottom:3.6pt;mso-height-percent:200;mso-width-relative:margin;mso-height-relative:margin" strokecolor="#bfbfbf" strokeweight=".25pt">
            <v:textbox style="mso-next-textbox:#Cuadro de texto 2;mso-fit-shape-to-text:t">
              <w:txbxContent>
                <w:p w:rsidR="00A519F2" w:rsidRPr="00A519F2" w:rsidRDefault="00A519F2" w:rsidP="00A519F2">
                  <w:pPr>
                    <w:spacing w:after="0" w:line="240" w:lineRule="auto"/>
                    <w:jc w:val="center"/>
                    <w:rPr>
                      <w:rFonts w:ascii="Times New Roman" w:hAnsi="Times New Roman" w:cs="Times New Roman"/>
                    </w:rPr>
                  </w:pPr>
                  <w:r w:rsidRPr="00A519F2">
                    <w:rPr>
                      <w:rFonts w:ascii="Times New Roman" w:hAnsi="Times New Roman" w:cs="Times New Roman"/>
                      <w:b/>
                      <w:color w:val="000000"/>
                      <w:sz w:val="20"/>
                      <w:szCs w:val="20"/>
                    </w:rPr>
                    <w:t>Leyenda:</w:t>
                  </w:r>
                  <w:r w:rsidRPr="00A519F2">
                    <w:rPr>
                      <w:rFonts w:ascii="Times New Roman" w:eastAsia="Times New Roman" w:hAnsi="Times New Roman" w:cs="Times New Roman"/>
                      <w:bCs/>
                      <w:color w:val="000000"/>
                      <w:sz w:val="20"/>
                      <w:szCs w:val="20"/>
                    </w:rPr>
                    <w:t xml:space="preserve"> L. mol.</w:t>
                  </w:r>
                  <w:r w:rsidRPr="00A519F2">
                    <w:rPr>
                      <w:rFonts w:ascii="Times New Roman" w:eastAsia="Times New Roman" w:hAnsi="Times New Roman" w:cs="Times New Roman"/>
                      <w:bCs/>
                      <w:i/>
                      <w:color w:val="000000"/>
                      <w:sz w:val="20"/>
                      <w:szCs w:val="20"/>
                    </w:rPr>
                    <w:t xml:space="preserve"> </w:t>
                  </w:r>
                  <w:r w:rsidRPr="00A519F2">
                    <w:rPr>
                      <w:rFonts w:ascii="Times New Roman" w:eastAsia="Times New Roman" w:hAnsi="Times New Roman" w:cs="Times New Roman"/>
                      <w:bCs/>
                      <w:color w:val="000000"/>
                      <w:sz w:val="20"/>
                      <w:szCs w:val="20"/>
                    </w:rPr>
                    <w:t>(</w:t>
                  </w:r>
                  <w:r w:rsidRPr="00A519F2">
                    <w:rPr>
                      <w:rFonts w:ascii="Times New Roman" w:eastAsia="Times New Roman" w:hAnsi="Times New Roman" w:cs="Times New Roman"/>
                      <w:bCs/>
                      <w:i/>
                      <w:color w:val="000000"/>
                      <w:sz w:val="20"/>
                      <w:szCs w:val="20"/>
                    </w:rPr>
                    <w:t xml:space="preserve">Lagascea mollis. </w:t>
                  </w:r>
                  <w:r w:rsidRPr="00A519F2">
                    <w:rPr>
                      <w:rFonts w:ascii="Times New Roman" w:eastAsia="Times New Roman" w:hAnsi="Times New Roman" w:cs="Times New Roman"/>
                      <w:bCs/>
                      <w:color w:val="000000"/>
                      <w:sz w:val="20"/>
                      <w:szCs w:val="20"/>
                    </w:rPr>
                    <w:t xml:space="preserve"> </w:t>
                  </w:r>
                  <w:r w:rsidRPr="00554F5A">
                    <w:rPr>
                      <w:rFonts w:ascii="Times New Roman" w:eastAsia="Times New Roman" w:hAnsi="Times New Roman" w:cs="Times New Roman"/>
                      <w:bCs/>
                      <w:color w:val="000000"/>
                      <w:sz w:val="20"/>
                      <w:szCs w:val="20"/>
                      <w:lang w:val="en-US"/>
                    </w:rPr>
                    <w:t>Cav.),</w:t>
                  </w:r>
                  <w:r w:rsidRPr="00554F5A">
                    <w:rPr>
                      <w:rFonts w:ascii="Times New Roman" w:hAnsi="Times New Roman" w:cs="Times New Roman"/>
                      <w:lang w:val="en-US"/>
                    </w:rPr>
                    <w:t xml:space="preserve"> </w:t>
                  </w:r>
                  <w:r w:rsidRPr="00554F5A">
                    <w:rPr>
                      <w:rFonts w:ascii="Times New Roman" w:eastAsia="Times New Roman" w:hAnsi="Times New Roman" w:cs="Times New Roman"/>
                      <w:bCs/>
                      <w:color w:val="000000"/>
                      <w:sz w:val="20"/>
                      <w:szCs w:val="20"/>
                      <w:lang w:val="en-US"/>
                    </w:rPr>
                    <w:t>A. con. (</w:t>
                  </w:r>
                  <w:r w:rsidRPr="00554F5A">
                    <w:rPr>
                      <w:rFonts w:ascii="Times New Roman" w:eastAsia="Times New Roman" w:hAnsi="Times New Roman" w:cs="Times New Roman"/>
                      <w:bCs/>
                      <w:i/>
                      <w:color w:val="000000"/>
                      <w:sz w:val="20"/>
                      <w:szCs w:val="20"/>
                      <w:lang w:val="en-US"/>
                    </w:rPr>
                    <w:t xml:space="preserve">Ageratum conyzoides </w:t>
                  </w:r>
                  <w:r w:rsidRPr="00554F5A">
                    <w:rPr>
                      <w:rFonts w:ascii="Times New Roman" w:eastAsia="Times New Roman" w:hAnsi="Times New Roman" w:cs="Times New Roman"/>
                      <w:bCs/>
                      <w:color w:val="000000"/>
                      <w:sz w:val="20"/>
                      <w:szCs w:val="20"/>
                      <w:lang w:val="en-US"/>
                    </w:rPr>
                    <w:t>(L.)), P. hys. (</w:t>
                  </w:r>
                  <w:r w:rsidRPr="00554F5A">
                    <w:rPr>
                      <w:rFonts w:ascii="Times New Roman" w:eastAsia="Times New Roman" w:hAnsi="Times New Roman" w:cs="Times New Roman"/>
                      <w:bCs/>
                      <w:i/>
                      <w:color w:val="000000"/>
                      <w:sz w:val="20"/>
                      <w:szCs w:val="20"/>
                      <w:lang w:val="en-US"/>
                    </w:rPr>
                    <w:t xml:space="preserve">Parthenium hysterophorus </w:t>
                  </w:r>
                  <w:r w:rsidRPr="00554F5A">
                    <w:rPr>
                      <w:rFonts w:ascii="Times New Roman" w:eastAsia="Times New Roman" w:hAnsi="Times New Roman" w:cs="Times New Roman"/>
                      <w:bCs/>
                      <w:color w:val="000000"/>
                      <w:sz w:val="20"/>
                      <w:szCs w:val="20"/>
                      <w:lang w:val="en-US"/>
                    </w:rPr>
                    <w:t>L.), X. chi. (</w:t>
                  </w:r>
                  <w:r w:rsidRPr="00554F5A">
                    <w:rPr>
                      <w:rFonts w:ascii="Times New Roman" w:eastAsia="Times New Roman" w:hAnsi="Times New Roman" w:cs="Times New Roman"/>
                      <w:bCs/>
                      <w:i/>
                      <w:color w:val="000000"/>
                      <w:sz w:val="20"/>
                      <w:szCs w:val="20"/>
                      <w:lang w:val="en-US"/>
                    </w:rPr>
                    <w:t xml:space="preserve">Xanthium chinense </w:t>
                  </w:r>
                  <w:r w:rsidRPr="00554F5A">
                    <w:rPr>
                      <w:rFonts w:ascii="Times New Roman" w:eastAsia="Times New Roman" w:hAnsi="Times New Roman" w:cs="Times New Roman"/>
                      <w:bCs/>
                      <w:color w:val="000000"/>
                      <w:sz w:val="20"/>
                      <w:szCs w:val="20"/>
                      <w:lang w:val="en-US"/>
                    </w:rPr>
                    <w:t>Mill), L. vir. (</w:t>
                  </w:r>
                  <w:r w:rsidRPr="00554F5A">
                    <w:rPr>
                      <w:rFonts w:ascii="Times New Roman" w:eastAsia="Times New Roman" w:hAnsi="Times New Roman" w:cs="Times New Roman"/>
                      <w:bCs/>
                      <w:i/>
                      <w:color w:val="000000"/>
                      <w:sz w:val="20"/>
                      <w:szCs w:val="20"/>
                      <w:lang w:val="en-US"/>
                    </w:rPr>
                    <w:t xml:space="preserve">Lepidium virginicum </w:t>
                  </w:r>
                  <w:r w:rsidRPr="00554F5A">
                    <w:rPr>
                      <w:rFonts w:ascii="Times New Roman" w:eastAsia="Times New Roman" w:hAnsi="Times New Roman" w:cs="Times New Roman"/>
                      <w:bCs/>
                      <w:color w:val="000000"/>
                      <w:sz w:val="20"/>
                      <w:szCs w:val="20"/>
                      <w:lang w:val="en-US"/>
                    </w:rPr>
                    <w:t xml:space="preserve">L.), C. rot. </w:t>
                  </w:r>
                  <w:r w:rsidRPr="00A519F2">
                    <w:rPr>
                      <w:rFonts w:ascii="Times New Roman" w:eastAsia="Times New Roman" w:hAnsi="Times New Roman" w:cs="Times New Roman"/>
                      <w:bCs/>
                      <w:color w:val="000000"/>
                      <w:sz w:val="20"/>
                      <w:szCs w:val="20"/>
                      <w:lang w:val="en-AU"/>
                    </w:rPr>
                    <w:t>(</w:t>
                  </w:r>
                  <w:r w:rsidRPr="00A519F2">
                    <w:rPr>
                      <w:rFonts w:ascii="Times New Roman" w:eastAsia="Times New Roman" w:hAnsi="Times New Roman" w:cs="Times New Roman"/>
                      <w:bCs/>
                      <w:i/>
                      <w:color w:val="000000"/>
                      <w:sz w:val="20"/>
                      <w:szCs w:val="20"/>
                      <w:lang w:val="en-AU"/>
                    </w:rPr>
                    <w:t xml:space="preserve">Cyperus rotundus </w:t>
                  </w:r>
                  <w:r w:rsidRPr="00A519F2">
                    <w:rPr>
                      <w:rFonts w:ascii="Times New Roman" w:eastAsia="Times New Roman" w:hAnsi="Times New Roman" w:cs="Times New Roman"/>
                      <w:bCs/>
                      <w:color w:val="000000"/>
                      <w:sz w:val="20"/>
                      <w:szCs w:val="20"/>
                      <w:lang w:val="en-AU"/>
                    </w:rPr>
                    <w:t>L.), C. hir. (</w:t>
                  </w:r>
                  <w:r w:rsidRPr="00A519F2">
                    <w:rPr>
                      <w:rFonts w:ascii="Times New Roman" w:hAnsi="Times New Roman" w:cs="Times New Roman"/>
                      <w:i/>
                      <w:color w:val="000000"/>
                      <w:sz w:val="20"/>
                      <w:szCs w:val="20"/>
                      <w:lang w:val="en-AU"/>
                    </w:rPr>
                    <w:t>Chamaesyce</w:t>
                  </w:r>
                  <w:r w:rsidRPr="00A519F2">
                    <w:rPr>
                      <w:rFonts w:ascii="Times New Roman" w:eastAsia="Times New Roman" w:hAnsi="Times New Roman" w:cs="Times New Roman"/>
                      <w:bCs/>
                      <w:color w:val="000000"/>
                      <w:sz w:val="20"/>
                      <w:szCs w:val="20"/>
                      <w:lang w:val="en-AU"/>
                    </w:rPr>
                    <w:t xml:space="preserve"> </w:t>
                  </w:r>
                  <w:r w:rsidRPr="00A519F2">
                    <w:rPr>
                      <w:rFonts w:ascii="Times New Roman" w:eastAsia="Times New Roman" w:hAnsi="Times New Roman" w:cs="Times New Roman"/>
                      <w:bCs/>
                      <w:i/>
                      <w:color w:val="000000"/>
                      <w:sz w:val="20"/>
                      <w:szCs w:val="20"/>
                      <w:lang w:val="en-AU"/>
                    </w:rPr>
                    <w:t>hirta</w:t>
                  </w:r>
                  <w:r w:rsidRPr="00A519F2">
                    <w:rPr>
                      <w:rFonts w:ascii="Times New Roman" w:eastAsia="Times New Roman" w:hAnsi="Times New Roman" w:cs="Times New Roman"/>
                      <w:bCs/>
                      <w:color w:val="000000"/>
                      <w:sz w:val="20"/>
                      <w:szCs w:val="20"/>
                      <w:lang w:val="en-AU"/>
                    </w:rPr>
                    <w:t xml:space="preserve"> (L.) Millsp), A. ame. </w:t>
                  </w:r>
                  <w:r w:rsidRPr="00A519F2">
                    <w:rPr>
                      <w:rFonts w:ascii="Times New Roman" w:eastAsia="Times New Roman" w:hAnsi="Times New Roman" w:cs="Times New Roman"/>
                      <w:bCs/>
                      <w:color w:val="000000"/>
                      <w:sz w:val="20"/>
                      <w:szCs w:val="20"/>
                    </w:rPr>
                    <w:t>(</w:t>
                  </w:r>
                  <w:r w:rsidRPr="00A519F2">
                    <w:rPr>
                      <w:rFonts w:ascii="Times New Roman" w:eastAsia="Times New Roman" w:hAnsi="Times New Roman" w:cs="Times New Roman"/>
                      <w:bCs/>
                      <w:i/>
                      <w:color w:val="000000"/>
                      <w:sz w:val="20"/>
                      <w:szCs w:val="20"/>
                    </w:rPr>
                    <w:t>Aeschynomene americana</w:t>
                  </w:r>
                  <w:r w:rsidRPr="00A519F2">
                    <w:rPr>
                      <w:rFonts w:ascii="Times New Roman" w:eastAsia="Times New Roman" w:hAnsi="Times New Roman" w:cs="Times New Roman"/>
                      <w:bCs/>
                      <w:color w:val="000000"/>
                      <w:sz w:val="20"/>
                      <w:szCs w:val="20"/>
                    </w:rPr>
                    <w:t xml:space="preserve"> L.), L. ere. (</w:t>
                  </w:r>
                  <w:r w:rsidRPr="00A519F2">
                    <w:rPr>
                      <w:rFonts w:ascii="Times New Roman" w:eastAsia="Times New Roman" w:hAnsi="Times New Roman" w:cs="Times New Roman"/>
                      <w:bCs/>
                      <w:i/>
                      <w:color w:val="000000"/>
                      <w:sz w:val="20"/>
                      <w:szCs w:val="20"/>
                    </w:rPr>
                    <w:t>Ludwigia erecta</w:t>
                  </w:r>
                  <w:r w:rsidRPr="00A519F2">
                    <w:rPr>
                      <w:rFonts w:ascii="Times New Roman" w:eastAsia="Times New Roman" w:hAnsi="Times New Roman" w:cs="Times New Roman"/>
                      <w:bCs/>
                      <w:color w:val="000000"/>
                      <w:sz w:val="20"/>
                      <w:szCs w:val="20"/>
                    </w:rPr>
                    <w:t xml:space="preserve"> (L.) H.Hara.), C. dif. (</w:t>
                  </w:r>
                  <w:r w:rsidRPr="00A519F2">
                    <w:rPr>
                      <w:rFonts w:ascii="Times New Roman" w:eastAsia="Times New Roman" w:hAnsi="Times New Roman" w:cs="Times New Roman"/>
                      <w:bCs/>
                      <w:i/>
                      <w:color w:val="000000"/>
                      <w:sz w:val="20"/>
                      <w:szCs w:val="20"/>
                    </w:rPr>
                    <w:t>Commelina diffusa</w:t>
                  </w:r>
                  <w:r w:rsidRPr="00A519F2">
                    <w:rPr>
                      <w:rFonts w:ascii="Times New Roman" w:eastAsia="Times New Roman" w:hAnsi="Times New Roman" w:cs="Times New Roman"/>
                      <w:bCs/>
                      <w:color w:val="000000"/>
                      <w:sz w:val="20"/>
                      <w:szCs w:val="20"/>
                    </w:rPr>
                    <w:t xml:space="preserve"> Burm. F.), E. col. (</w:t>
                  </w:r>
                  <w:r w:rsidRPr="00A519F2">
                    <w:rPr>
                      <w:rFonts w:ascii="Times New Roman" w:eastAsia="Times New Roman" w:hAnsi="Times New Roman" w:cs="Times New Roman"/>
                      <w:bCs/>
                      <w:i/>
                      <w:color w:val="000000"/>
                      <w:sz w:val="20"/>
                      <w:szCs w:val="20"/>
                    </w:rPr>
                    <w:t>Echinochloa colona</w:t>
                  </w:r>
                  <w:r w:rsidRPr="00A519F2">
                    <w:rPr>
                      <w:rFonts w:ascii="Times New Roman" w:eastAsia="Times New Roman" w:hAnsi="Times New Roman" w:cs="Times New Roman"/>
                      <w:bCs/>
                      <w:color w:val="000000"/>
                      <w:sz w:val="20"/>
                      <w:szCs w:val="20"/>
                    </w:rPr>
                    <w:t xml:space="preserve"> (L.) Link.), E. ind. (</w:t>
                  </w:r>
                  <w:r w:rsidRPr="00A519F2">
                    <w:rPr>
                      <w:rFonts w:ascii="Times New Roman" w:eastAsia="Times New Roman" w:hAnsi="Times New Roman" w:cs="Times New Roman"/>
                      <w:bCs/>
                      <w:i/>
                      <w:color w:val="000000"/>
                      <w:sz w:val="20"/>
                      <w:szCs w:val="20"/>
                    </w:rPr>
                    <w:t>Eleusine indica</w:t>
                  </w:r>
                  <w:r w:rsidRPr="00A519F2">
                    <w:rPr>
                      <w:rFonts w:ascii="Times New Roman" w:eastAsia="Times New Roman" w:hAnsi="Times New Roman" w:cs="Times New Roman"/>
                      <w:bCs/>
                      <w:color w:val="000000"/>
                      <w:sz w:val="20"/>
                      <w:szCs w:val="20"/>
                    </w:rPr>
                    <w:t xml:space="preserve"> (L.) Gaertn.), D. cil. (</w:t>
                  </w:r>
                  <w:r w:rsidRPr="00A519F2">
                    <w:rPr>
                      <w:rFonts w:ascii="Times New Roman" w:eastAsia="Times New Roman" w:hAnsi="Times New Roman" w:cs="Times New Roman"/>
                      <w:bCs/>
                      <w:i/>
                      <w:color w:val="000000"/>
                      <w:sz w:val="20"/>
                      <w:szCs w:val="20"/>
                    </w:rPr>
                    <w:t>Digitaria ciliaris</w:t>
                  </w:r>
                  <w:r w:rsidRPr="00A519F2">
                    <w:rPr>
                      <w:rFonts w:ascii="Times New Roman" w:eastAsia="Times New Roman" w:hAnsi="Times New Roman" w:cs="Times New Roman"/>
                      <w:bCs/>
                      <w:color w:val="000000"/>
                      <w:sz w:val="20"/>
                      <w:szCs w:val="20"/>
                    </w:rPr>
                    <w:t xml:space="preserve"> (Retz) Koeler), S. hal. (</w:t>
                  </w:r>
                  <w:r w:rsidRPr="00A519F2">
                    <w:rPr>
                      <w:rFonts w:ascii="Times New Roman" w:eastAsia="Times New Roman" w:hAnsi="Times New Roman" w:cs="Times New Roman"/>
                      <w:bCs/>
                      <w:i/>
                      <w:color w:val="000000"/>
                      <w:sz w:val="20"/>
                      <w:szCs w:val="20"/>
                    </w:rPr>
                    <w:t>Sorghum halepense</w:t>
                  </w:r>
                  <w:r w:rsidRPr="00A519F2">
                    <w:rPr>
                      <w:rFonts w:ascii="Times New Roman" w:eastAsia="Times New Roman" w:hAnsi="Times New Roman" w:cs="Times New Roman"/>
                      <w:bCs/>
                      <w:color w:val="000000"/>
                      <w:sz w:val="20"/>
                      <w:szCs w:val="20"/>
                    </w:rPr>
                    <w:t xml:space="preserve"> (L.) Pers.), P. ole. (</w:t>
                  </w:r>
                  <w:r w:rsidRPr="00A519F2">
                    <w:rPr>
                      <w:rFonts w:ascii="Times New Roman" w:eastAsia="Times New Roman" w:hAnsi="Times New Roman" w:cs="Times New Roman"/>
                      <w:bCs/>
                      <w:i/>
                      <w:color w:val="000000"/>
                      <w:sz w:val="20"/>
                      <w:szCs w:val="20"/>
                    </w:rPr>
                    <w:t>Portulaca oleraceae</w:t>
                  </w:r>
                  <w:r w:rsidRPr="00A519F2">
                    <w:rPr>
                      <w:rFonts w:ascii="Times New Roman" w:eastAsia="Times New Roman" w:hAnsi="Times New Roman" w:cs="Times New Roman"/>
                      <w:bCs/>
                      <w:color w:val="000000"/>
                      <w:sz w:val="20"/>
                      <w:szCs w:val="20"/>
                    </w:rPr>
                    <w:t xml:space="preserve"> L.) </w:t>
                  </w:r>
                </w:p>
              </w:txbxContent>
            </v:textbox>
          </v:shape>
        </w:pict>
      </w:r>
      <w:r w:rsidR="00A519F2" w:rsidRPr="006E17A4">
        <w:rPr>
          <w:noProof/>
          <w:lang w:val="es-ES_tradnl" w:eastAsia="es-ES_tradnl"/>
        </w:rPr>
        <w:drawing>
          <wp:inline distT="0" distB="0" distL="0" distR="0">
            <wp:extent cx="5400040" cy="3308133"/>
            <wp:effectExtent l="0" t="0" r="0" b="0"/>
            <wp:docPr id="5" name="Gráfico 5" descr="Título: ppp"/>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A519F2" w:rsidRDefault="00A519F2" w:rsidP="00A519F2">
      <w:pPr>
        <w:spacing w:after="0" w:line="360" w:lineRule="auto"/>
        <w:jc w:val="both"/>
        <w:rPr>
          <w:rFonts w:ascii="Times New Roman" w:hAnsi="Times New Roman" w:cs="Times New Roman"/>
          <w:sz w:val="24"/>
          <w:szCs w:val="24"/>
        </w:rPr>
      </w:pPr>
    </w:p>
    <w:p w:rsidR="00A519F2" w:rsidRDefault="00A519F2" w:rsidP="00A519F2">
      <w:pPr>
        <w:spacing w:after="0" w:line="360" w:lineRule="auto"/>
        <w:jc w:val="both"/>
        <w:rPr>
          <w:rFonts w:ascii="Times New Roman" w:hAnsi="Times New Roman" w:cs="Times New Roman"/>
          <w:sz w:val="24"/>
          <w:szCs w:val="24"/>
        </w:rPr>
      </w:pPr>
    </w:p>
    <w:p w:rsidR="00A519F2" w:rsidRDefault="00A519F2" w:rsidP="00A519F2">
      <w:pPr>
        <w:spacing w:after="0" w:line="360" w:lineRule="auto"/>
        <w:jc w:val="both"/>
        <w:rPr>
          <w:rFonts w:ascii="Times New Roman" w:hAnsi="Times New Roman" w:cs="Times New Roman"/>
          <w:sz w:val="24"/>
          <w:szCs w:val="24"/>
        </w:rPr>
      </w:pPr>
    </w:p>
    <w:p w:rsidR="00A519F2" w:rsidRDefault="00A519F2" w:rsidP="00A519F2">
      <w:pPr>
        <w:spacing w:after="0" w:line="360" w:lineRule="auto"/>
        <w:jc w:val="center"/>
        <w:rPr>
          <w:rFonts w:ascii="Times New Roman" w:hAnsi="Times New Roman" w:cs="Times New Roman"/>
          <w:sz w:val="20"/>
          <w:szCs w:val="20"/>
        </w:rPr>
      </w:pPr>
      <w:r w:rsidRPr="00A519F2">
        <w:rPr>
          <w:rFonts w:ascii="Times New Roman" w:hAnsi="Times New Roman" w:cs="Times New Roman"/>
          <w:b/>
          <w:sz w:val="20"/>
          <w:szCs w:val="20"/>
        </w:rPr>
        <w:t>Figura 2.</w:t>
      </w:r>
      <w:r w:rsidRPr="00A519F2">
        <w:rPr>
          <w:rFonts w:ascii="Times New Roman" w:hAnsi="Times New Roman" w:cs="Times New Roman"/>
          <w:sz w:val="20"/>
          <w:szCs w:val="20"/>
        </w:rPr>
        <w:t xml:space="preserve"> Abundancia relativa de especies arvenses por tratamientos</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Las arvenses con menor Abundancia relativa fueron </w:t>
      </w:r>
      <w:r w:rsidRPr="009477E0">
        <w:rPr>
          <w:rFonts w:ascii="Times New Roman" w:hAnsi="Times New Roman" w:cs="Times New Roman"/>
          <w:i/>
          <w:sz w:val="24"/>
          <w:szCs w:val="24"/>
        </w:rPr>
        <w:t>A. conyzoides</w:t>
      </w:r>
      <w:r w:rsidRPr="00A519F2">
        <w:rPr>
          <w:rFonts w:ascii="Times New Roman" w:hAnsi="Times New Roman" w:cs="Times New Roman"/>
          <w:sz w:val="24"/>
          <w:szCs w:val="24"/>
        </w:rPr>
        <w:t xml:space="preserve">, </w:t>
      </w:r>
      <w:r w:rsidRPr="009477E0">
        <w:rPr>
          <w:rFonts w:ascii="Times New Roman" w:hAnsi="Times New Roman" w:cs="Times New Roman"/>
          <w:i/>
          <w:sz w:val="24"/>
          <w:szCs w:val="24"/>
        </w:rPr>
        <w:t>L. erecta</w:t>
      </w:r>
      <w:r w:rsidRPr="00A519F2">
        <w:rPr>
          <w:rFonts w:ascii="Times New Roman" w:hAnsi="Times New Roman" w:cs="Times New Roman"/>
          <w:sz w:val="24"/>
          <w:szCs w:val="24"/>
        </w:rPr>
        <w:t xml:space="preserve">, </w:t>
      </w:r>
      <w:r w:rsidRPr="009477E0">
        <w:rPr>
          <w:rFonts w:ascii="Times New Roman" w:hAnsi="Times New Roman" w:cs="Times New Roman"/>
          <w:i/>
          <w:sz w:val="24"/>
          <w:szCs w:val="24"/>
        </w:rPr>
        <w:t>D. ciliaris</w:t>
      </w:r>
      <w:r w:rsidRPr="00A519F2">
        <w:rPr>
          <w:rFonts w:ascii="Times New Roman" w:hAnsi="Times New Roman" w:cs="Times New Roman"/>
          <w:sz w:val="24"/>
          <w:szCs w:val="24"/>
        </w:rPr>
        <w:t xml:space="preserve">, </w:t>
      </w:r>
      <w:r w:rsidRPr="009477E0">
        <w:rPr>
          <w:rFonts w:ascii="Times New Roman" w:hAnsi="Times New Roman" w:cs="Times New Roman"/>
          <w:i/>
          <w:sz w:val="24"/>
          <w:szCs w:val="24"/>
        </w:rPr>
        <w:t>A. americana</w:t>
      </w:r>
      <w:r w:rsidRPr="00A519F2">
        <w:rPr>
          <w:rFonts w:ascii="Times New Roman" w:hAnsi="Times New Roman" w:cs="Times New Roman"/>
          <w:sz w:val="24"/>
          <w:szCs w:val="24"/>
        </w:rPr>
        <w:t xml:space="preserve">, </w:t>
      </w:r>
      <w:r w:rsidRPr="009477E0">
        <w:rPr>
          <w:rFonts w:ascii="Times New Roman" w:hAnsi="Times New Roman" w:cs="Times New Roman"/>
          <w:i/>
          <w:sz w:val="24"/>
          <w:szCs w:val="24"/>
        </w:rPr>
        <w:t>X. chinense</w:t>
      </w:r>
      <w:r w:rsidRPr="00A519F2">
        <w:rPr>
          <w:rFonts w:ascii="Times New Roman" w:hAnsi="Times New Roman" w:cs="Times New Roman"/>
          <w:sz w:val="24"/>
          <w:szCs w:val="24"/>
        </w:rPr>
        <w:t xml:space="preserve">, </w:t>
      </w:r>
      <w:r w:rsidRPr="009477E0">
        <w:rPr>
          <w:rFonts w:ascii="Times New Roman" w:hAnsi="Times New Roman" w:cs="Times New Roman"/>
          <w:i/>
          <w:sz w:val="24"/>
          <w:szCs w:val="24"/>
        </w:rPr>
        <w:t>L. erecta</w:t>
      </w:r>
      <w:r w:rsidRPr="00A519F2">
        <w:rPr>
          <w:rFonts w:ascii="Times New Roman" w:hAnsi="Times New Roman" w:cs="Times New Roman"/>
          <w:sz w:val="24"/>
          <w:szCs w:val="24"/>
        </w:rPr>
        <w:t xml:space="preserve"> y </w:t>
      </w:r>
      <w:r w:rsidRPr="009477E0">
        <w:rPr>
          <w:rFonts w:ascii="Times New Roman" w:hAnsi="Times New Roman" w:cs="Times New Roman"/>
          <w:i/>
          <w:sz w:val="24"/>
          <w:szCs w:val="24"/>
        </w:rPr>
        <w:t>E. indica</w:t>
      </w:r>
      <w:r w:rsidRPr="00A519F2">
        <w:rPr>
          <w:rFonts w:ascii="Times New Roman" w:hAnsi="Times New Roman" w:cs="Times New Roman"/>
          <w:sz w:val="24"/>
          <w:szCs w:val="24"/>
        </w:rPr>
        <w:t xml:space="preserve"> (Figura </w:t>
      </w:r>
      <w:r w:rsidR="009477E0">
        <w:rPr>
          <w:rFonts w:ascii="Times New Roman" w:hAnsi="Times New Roman" w:cs="Times New Roman"/>
          <w:sz w:val="24"/>
          <w:szCs w:val="24"/>
        </w:rPr>
        <w:t>2</w:t>
      </w:r>
      <w:r w:rsidRPr="00A519F2">
        <w:rPr>
          <w:rFonts w:ascii="Times New Roman" w:hAnsi="Times New Roman" w:cs="Times New Roman"/>
          <w:sz w:val="24"/>
          <w:szCs w:val="24"/>
        </w:rPr>
        <w:t>).</w:t>
      </w:r>
    </w:p>
    <w:p w:rsidR="00A519F2" w:rsidRPr="0061525A" w:rsidRDefault="00A519F2" w:rsidP="00A519F2">
      <w:pPr>
        <w:spacing w:after="0" w:line="360" w:lineRule="auto"/>
        <w:jc w:val="both"/>
        <w:rPr>
          <w:rFonts w:ascii="Times New Roman" w:hAnsi="Times New Roman" w:cs="Times New Roman"/>
          <w:i/>
          <w:sz w:val="24"/>
          <w:szCs w:val="24"/>
        </w:rPr>
      </w:pPr>
      <w:r w:rsidRPr="0061525A">
        <w:rPr>
          <w:rFonts w:ascii="Times New Roman" w:hAnsi="Times New Roman" w:cs="Times New Roman"/>
          <w:i/>
          <w:sz w:val="24"/>
          <w:szCs w:val="24"/>
        </w:rPr>
        <w:t xml:space="preserve">Índice de similitud (S) </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A partir del registro de las especies arvenses encontradas en cada tratamiento se determinaron las que eran comunes entre estos (Tabla 2). Como resultado, el Índice de similitud entre los tratamientos 1 y 2 fue de 0,76; mientras que entre los tratamientos 2 y 3 el valor fue de 0,80. Para los tratamientos 1 y 3 se alcanzó un índice de 0,81. En todos los casos el valor del Índice de similitud fue superior a 0,5 y cuando esto ocurre, según Venegas (1997), existe un equilibrio entre las especies.</w:t>
      </w:r>
    </w:p>
    <w:p w:rsidR="00A519F2" w:rsidRPr="0061525A" w:rsidRDefault="0061525A" w:rsidP="00A519F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 </w:t>
      </w:r>
      <w:r w:rsidR="00A519F2" w:rsidRPr="0061525A">
        <w:rPr>
          <w:rFonts w:ascii="Times New Roman" w:hAnsi="Times New Roman" w:cs="Times New Roman"/>
          <w:b/>
          <w:sz w:val="24"/>
          <w:szCs w:val="24"/>
        </w:rPr>
        <w:t>Componentes del rendimiento</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La masa de 100 semillas no fue afectada significativamente en las diferentes variantes de control de arvenses aplicadas. Se obtuvieron valores promedios entre 17,40 y 17,11 gramos en el experimento. </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Resultados de varias investigaciones realizadas en </w:t>
      </w:r>
      <w:r w:rsidRPr="009477E0">
        <w:rPr>
          <w:rFonts w:ascii="Times New Roman" w:hAnsi="Times New Roman" w:cs="Times New Roman"/>
          <w:i/>
          <w:sz w:val="24"/>
          <w:szCs w:val="24"/>
        </w:rPr>
        <w:t>P. vulgaris</w:t>
      </w:r>
      <w:r w:rsidRPr="00A519F2">
        <w:rPr>
          <w:rFonts w:ascii="Times New Roman" w:hAnsi="Times New Roman" w:cs="Times New Roman"/>
          <w:sz w:val="24"/>
          <w:szCs w:val="24"/>
        </w:rPr>
        <w:t xml:space="preserve"> concuerdan en que la masa de las semillas es un carácter muy estable. Rosabal et al. (2013) en experimentos con aspersiones foliares del estimulante Biobras-16 lograron incrementos significativos en varios de los componentes del rendimiento estudiados, excepto para la masa 100 semillas.</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Parreira et al. (2011) al investigar los efectos de varios espaciamientos y densidades de población en este cultivo, no reportan diferencias significativas con relación a este componente del rendimiento.</w:t>
      </w:r>
    </w:p>
    <w:p w:rsid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Las variables Legumbres efectivas por planta y Semillas efectivas por legumbre tuvieron similar respuesta ante las diferentes variantes de control de arvenses aplicadas, evidenciando que las mayores afectaciones se presentaron cuando el control de arvenses solo se realizó entre los 40 y 60 días después de la siembra (Tabla </w:t>
      </w:r>
      <w:r w:rsidR="002D747A">
        <w:rPr>
          <w:rFonts w:ascii="Times New Roman" w:hAnsi="Times New Roman" w:cs="Times New Roman"/>
          <w:sz w:val="24"/>
          <w:szCs w:val="24"/>
        </w:rPr>
        <w:t>2</w:t>
      </w:r>
      <w:r w:rsidRPr="00A519F2">
        <w:rPr>
          <w:rFonts w:ascii="Times New Roman" w:hAnsi="Times New Roman" w:cs="Times New Roman"/>
          <w:sz w:val="24"/>
          <w:szCs w:val="24"/>
        </w:rPr>
        <w:t>). En estos indicadores del rendimiento no existió diferencia significativa entre los tratamientos 1 y 2</w:t>
      </w:r>
      <w:r>
        <w:rPr>
          <w:rFonts w:ascii="Times New Roman" w:hAnsi="Times New Roman" w:cs="Times New Roman"/>
          <w:sz w:val="24"/>
          <w:szCs w:val="24"/>
        </w:rPr>
        <w:t>.</w:t>
      </w:r>
    </w:p>
    <w:p w:rsidR="00A519F2" w:rsidRDefault="00A519F2" w:rsidP="00A519F2">
      <w:pPr>
        <w:spacing w:after="0" w:line="360" w:lineRule="auto"/>
        <w:jc w:val="center"/>
        <w:rPr>
          <w:rFonts w:ascii="Times New Roman" w:hAnsi="Times New Roman" w:cs="Times New Roman"/>
        </w:rPr>
      </w:pPr>
      <w:r w:rsidRPr="00A519F2">
        <w:rPr>
          <w:rFonts w:ascii="Times New Roman" w:hAnsi="Times New Roman" w:cs="Times New Roman"/>
          <w:b/>
        </w:rPr>
        <w:lastRenderedPageBreak/>
        <w:t xml:space="preserve">Tabla </w:t>
      </w:r>
      <w:r w:rsidR="002D747A">
        <w:rPr>
          <w:rFonts w:ascii="Times New Roman" w:hAnsi="Times New Roman" w:cs="Times New Roman"/>
          <w:b/>
        </w:rPr>
        <w:t>2</w:t>
      </w:r>
      <w:r w:rsidRPr="00A519F2">
        <w:rPr>
          <w:rFonts w:ascii="Times New Roman" w:hAnsi="Times New Roman" w:cs="Times New Roman"/>
        </w:rPr>
        <w:t>. Influencia de las variantes de control de arvenses sobre los componentes del rendimiento</w:t>
      </w:r>
    </w:p>
    <w:tbl>
      <w:tblPr>
        <w:tblW w:w="0" w:type="auto"/>
        <w:jc w:val="center"/>
        <w:tblBorders>
          <w:top w:val="single" w:sz="4" w:space="0" w:color="7F7F7F"/>
          <w:bottom w:val="single" w:sz="4" w:space="0" w:color="7F7F7F"/>
        </w:tblBorders>
        <w:tblLook w:val="04A0" w:firstRow="1" w:lastRow="0" w:firstColumn="1" w:lastColumn="0" w:noHBand="0" w:noVBand="1"/>
      </w:tblPr>
      <w:tblGrid>
        <w:gridCol w:w="1724"/>
        <w:gridCol w:w="1074"/>
        <w:gridCol w:w="991"/>
        <w:gridCol w:w="1278"/>
        <w:gridCol w:w="1328"/>
        <w:gridCol w:w="1083"/>
        <w:gridCol w:w="1242"/>
      </w:tblGrid>
      <w:tr w:rsidR="00A519F2" w:rsidRPr="009477E0" w:rsidTr="00A519F2">
        <w:trPr>
          <w:trHeight w:val="334"/>
          <w:jc w:val="center"/>
        </w:trPr>
        <w:tc>
          <w:tcPr>
            <w:tcW w:w="1724" w:type="dxa"/>
            <w:vMerge w:val="restart"/>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Tratamientos</w:t>
            </w:r>
          </w:p>
        </w:tc>
        <w:tc>
          <w:tcPr>
            <w:tcW w:w="1074" w:type="dxa"/>
            <w:vMerge w:val="restart"/>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LEP</w:t>
            </w:r>
          </w:p>
        </w:tc>
        <w:tc>
          <w:tcPr>
            <w:tcW w:w="991" w:type="dxa"/>
            <w:vMerge w:val="restart"/>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SEL</w:t>
            </w:r>
          </w:p>
        </w:tc>
        <w:tc>
          <w:tcPr>
            <w:tcW w:w="2606" w:type="dxa"/>
            <w:gridSpan w:val="2"/>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SP</w:t>
            </w:r>
          </w:p>
        </w:tc>
        <w:tc>
          <w:tcPr>
            <w:tcW w:w="2325" w:type="dxa"/>
            <w:gridSpan w:val="2"/>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PP (g)</w:t>
            </w:r>
          </w:p>
        </w:tc>
      </w:tr>
      <w:tr w:rsidR="00A519F2" w:rsidRPr="009477E0" w:rsidTr="00A519F2">
        <w:trPr>
          <w:trHeight w:val="426"/>
          <w:jc w:val="center"/>
        </w:trPr>
        <w:tc>
          <w:tcPr>
            <w:tcW w:w="1724" w:type="dxa"/>
            <w:vMerge/>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p>
        </w:tc>
        <w:tc>
          <w:tcPr>
            <w:tcW w:w="1074" w:type="dxa"/>
            <w:vMerge/>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p>
        </w:tc>
        <w:tc>
          <w:tcPr>
            <w:tcW w:w="991" w:type="dxa"/>
            <w:vMerge/>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p>
        </w:tc>
        <w:tc>
          <w:tcPr>
            <w:tcW w:w="1278"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Medias</w:t>
            </w:r>
          </w:p>
        </w:tc>
        <w:tc>
          <w:tcPr>
            <w:tcW w:w="1328"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Rangos medios</w:t>
            </w:r>
          </w:p>
        </w:tc>
        <w:tc>
          <w:tcPr>
            <w:tcW w:w="1083"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Medias</w:t>
            </w:r>
          </w:p>
        </w:tc>
        <w:tc>
          <w:tcPr>
            <w:tcW w:w="1242"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Rangos medios</w:t>
            </w:r>
          </w:p>
        </w:tc>
      </w:tr>
      <w:tr w:rsidR="00A519F2" w:rsidRPr="009477E0" w:rsidTr="00A519F2">
        <w:trPr>
          <w:trHeight w:val="779"/>
          <w:jc w:val="center"/>
        </w:trPr>
        <w:tc>
          <w:tcPr>
            <w:tcW w:w="1724" w:type="dxa"/>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1</w:t>
            </w:r>
          </w:p>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2</w:t>
            </w:r>
          </w:p>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3</w:t>
            </w:r>
          </w:p>
        </w:tc>
        <w:tc>
          <w:tcPr>
            <w:tcW w:w="1074" w:type="dxa"/>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11,93 a</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11,93 a</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11,40 b</w:t>
            </w:r>
          </w:p>
        </w:tc>
        <w:tc>
          <w:tcPr>
            <w:tcW w:w="991" w:type="dxa"/>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5,40 a</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5,27 a</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4,53 b</w:t>
            </w:r>
          </w:p>
        </w:tc>
        <w:tc>
          <w:tcPr>
            <w:tcW w:w="1278" w:type="dxa"/>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64,4</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61,13</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48,6</w:t>
            </w:r>
          </w:p>
        </w:tc>
        <w:tc>
          <w:tcPr>
            <w:tcW w:w="1328" w:type="dxa"/>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34,43 a</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26,57 b</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8,00 c</w:t>
            </w:r>
          </w:p>
        </w:tc>
        <w:tc>
          <w:tcPr>
            <w:tcW w:w="1083" w:type="dxa"/>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11,19</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10,58</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7,83</w:t>
            </w:r>
          </w:p>
        </w:tc>
        <w:tc>
          <w:tcPr>
            <w:tcW w:w="1242" w:type="dxa"/>
            <w:tcBorders>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34,80 a</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26,20 b</w:t>
            </w:r>
          </w:p>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8,00 c</w:t>
            </w:r>
          </w:p>
        </w:tc>
      </w:tr>
      <w:tr w:rsidR="00A519F2" w:rsidRPr="009477E0" w:rsidTr="00A519F2">
        <w:trPr>
          <w:jc w:val="center"/>
        </w:trPr>
        <w:tc>
          <w:tcPr>
            <w:tcW w:w="1724"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b/>
                <w:bCs/>
                <w:sz w:val="20"/>
                <w:szCs w:val="20"/>
              </w:rPr>
            </w:pPr>
            <w:r w:rsidRPr="009477E0">
              <w:rPr>
                <w:rFonts w:ascii="Times New Roman" w:eastAsia="Droid Sans Fallback" w:hAnsi="Times New Roman" w:cs="Times New Roman"/>
                <w:b/>
                <w:bCs/>
                <w:sz w:val="20"/>
                <w:szCs w:val="20"/>
              </w:rPr>
              <w:t>EE = ±</w:t>
            </w:r>
          </w:p>
        </w:tc>
        <w:tc>
          <w:tcPr>
            <w:tcW w:w="1074"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0,15</w:t>
            </w:r>
          </w:p>
        </w:tc>
        <w:tc>
          <w:tcPr>
            <w:tcW w:w="991"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0,15</w:t>
            </w:r>
          </w:p>
        </w:tc>
        <w:tc>
          <w:tcPr>
            <w:tcW w:w="1278"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0,68</w:t>
            </w:r>
          </w:p>
        </w:tc>
        <w:tc>
          <w:tcPr>
            <w:tcW w:w="1328"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p>
        </w:tc>
        <w:tc>
          <w:tcPr>
            <w:tcW w:w="1083"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r w:rsidRPr="009477E0">
              <w:rPr>
                <w:rFonts w:ascii="Times New Roman" w:eastAsia="Droid Sans Fallback" w:hAnsi="Times New Roman" w:cs="Times New Roman"/>
                <w:sz w:val="20"/>
                <w:szCs w:val="20"/>
              </w:rPr>
              <w:t>0,11</w:t>
            </w:r>
          </w:p>
        </w:tc>
        <w:tc>
          <w:tcPr>
            <w:tcW w:w="1242" w:type="dxa"/>
            <w:tcBorders>
              <w:top w:val="single" w:sz="4" w:space="0" w:color="7F7F7F"/>
              <w:bottom w:val="single" w:sz="4" w:space="0" w:color="7F7F7F"/>
            </w:tcBorders>
            <w:shd w:val="clear" w:color="auto" w:fill="auto"/>
          </w:tcPr>
          <w:p w:rsidR="00A519F2" w:rsidRPr="009477E0" w:rsidRDefault="00A519F2" w:rsidP="00020FA7">
            <w:pPr>
              <w:jc w:val="center"/>
              <w:rPr>
                <w:rFonts w:ascii="Times New Roman" w:eastAsia="Droid Sans Fallback" w:hAnsi="Times New Roman" w:cs="Times New Roman"/>
                <w:sz w:val="20"/>
                <w:szCs w:val="20"/>
              </w:rPr>
            </w:pPr>
          </w:p>
        </w:tc>
      </w:tr>
    </w:tbl>
    <w:p w:rsidR="00A519F2" w:rsidRDefault="00A519F2" w:rsidP="00A519F2">
      <w:pPr>
        <w:spacing w:after="0" w:line="360" w:lineRule="auto"/>
        <w:jc w:val="center"/>
        <w:rPr>
          <w:rFonts w:ascii="Times New Roman" w:hAnsi="Times New Roman" w:cs="Times New Roman"/>
          <w:sz w:val="20"/>
          <w:szCs w:val="20"/>
        </w:rPr>
      </w:pPr>
      <w:r w:rsidRPr="00A519F2">
        <w:rPr>
          <w:rFonts w:ascii="Times New Roman" w:hAnsi="Times New Roman" w:cs="Times New Roman"/>
          <w:b/>
          <w:sz w:val="20"/>
          <w:szCs w:val="20"/>
        </w:rPr>
        <w:t>Leyenda:</w:t>
      </w:r>
      <w:r w:rsidRPr="00A519F2">
        <w:rPr>
          <w:rFonts w:ascii="Times New Roman" w:hAnsi="Times New Roman" w:cs="Times New Roman"/>
          <w:sz w:val="20"/>
          <w:szCs w:val="20"/>
        </w:rPr>
        <w:t xml:space="preserve"> LEP: Legumbres efectivas por planta; SEL: Semillas efectivas por legumbre; SP: Semillas por planta; PP (g): Producción por planta. Medias con letras no comunes en una misma columna denotan diferencias significativas según prueba de Mínima Diferencia Significativa (MDS) para las variables (LEP y SEL), y Prueba de Kruskall Wallis para las variables SP y PP (g) ambas para (P≤ 0,05).</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Los resultados obtenidos concuerdan con los reportados por varios autores, entre otros los de Najul y Anzalone (2006), quienes plantean que el número de legumbres por plantas disminuye cuando existe interferencia de las arvenses hasta los 32 días después de la emergencia del cultivo, y cuando ocurre durante todo su ciclo. También, Parreira et al. (2011) concuerdan en que el frijol común por ser una planta de ciclo vegetativo de corta duración, se torna bastante sensible a la interferencia de las arvenses, esencialmente en los estadios iniciales de desarrollo vegetativo.</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En el número Semillas por plantas y la Producción por plantas existió diferencia entre los tres tratamientos. Los resultados más bajos se reportaron en el tratamiento 3 (control de arvenses entre los 40 y 60 días después de la siembra.). Estos resultados demuestran la necesidad de que el cultivo esté libre de arvenses aproximadamente los primeros 40 días de su ciclo. Este período coincide con el reportado por Blanco y Leyva (2011) como período crítico del cultivo que es cuando necesita altos niveles de nutrientes, luz y agua. </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La mayor producción por planta se obtuvo cuando se aplicó control de arvenses desde los primeros estadios del cultivo y hasta las etapas finales de su ciclo (tratamiento 1). Este manejo favoreció una mayor producción de legumbres efectivas por planta, y mayor cantidad de semillas efectivas por legumbre y por planta</w:t>
      </w:r>
    </w:p>
    <w:p w:rsidR="00A519F2" w:rsidRPr="0061525A" w:rsidRDefault="0061525A" w:rsidP="00A519F2">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3.4 </w:t>
      </w:r>
      <w:r w:rsidR="00A519F2" w:rsidRPr="0061525A">
        <w:rPr>
          <w:rFonts w:ascii="Times New Roman" w:hAnsi="Times New Roman" w:cs="Times New Roman"/>
          <w:b/>
          <w:sz w:val="24"/>
          <w:szCs w:val="24"/>
        </w:rPr>
        <w:t xml:space="preserve">Rendimiento agrícola </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lastRenderedPageBreak/>
        <w:t>Producción por parcela y rendimiento obtenido</w:t>
      </w:r>
    </w:p>
    <w:p w:rsidR="00A519F2" w:rsidRPr="00A519F2" w:rsidRDefault="00A519F2" w:rsidP="00A519F2">
      <w:pPr>
        <w:spacing w:after="0" w:line="360" w:lineRule="auto"/>
        <w:jc w:val="both"/>
        <w:rPr>
          <w:rFonts w:ascii="Times New Roman" w:hAnsi="Times New Roman" w:cs="Times New Roman"/>
          <w:sz w:val="24"/>
          <w:szCs w:val="24"/>
        </w:rPr>
      </w:pPr>
      <w:r w:rsidRPr="00A519F2">
        <w:rPr>
          <w:rFonts w:ascii="Times New Roman" w:hAnsi="Times New Roman" w:cs="Times New Roman"/>
          <w:sz w:val="24"/>
          <w:szCs w:val="24"/>
        </w:rPr>
        <w:t xml:space="preserve">La mayor producción por parcela se reportó en el tratamiento 1 con 1,03 kg y hubo diferencia significativa entre los tres tratamientos (Figura </w:t>
      </w:r>
      <w:r w:rsidR="002D747A">
        <w:rPr>
          <w:rFonts w:ascii="Times New Roman" w:hAnsi="Times New Roman" w:cs="Times New Roman"/>
          <w:sz w:val="24"/>
          <w:szCs w:val="24"/>
        </w:rPr>
        <w:t>3</w:t>
      </w:r>
      <w:r w:rsidRPr="00A519F2">
        <w:rPr>
          <w:rFonts w:ascii="Times New Roman" w:hAnsi="Times New Roman" w:cs="Times New Roman"/>
          <w:sz w:val="24"/>
          <w:szCs w:val="24"/>
        </w:rPr>
        <w:t>). Estos resultados coinciden con los obtenidos por Blanco y Leyva (2011) quienes obtuvieron los mayores rendimientos en el tratamiento que estuvo libre de arvenses durante todo el ciclo.</w:t>
      </w:r>
    </w:p>
    <w:p w:rsidR="00A519F2" w:rsidRDefault="00A519F2" w:rsidP="00A519F2">
      <w:pPr>
        <w:spacing w:after="0" w:line="360" w:lineRule="auto"/>
        <w:jc w:val="both"/>
        <w:rPr>
          <w:rFonts w:ascii="Times New Roman" w:hAnsi="Times New Roman" w:cs="Times New Roman"/>
          <w:sz w:val="24"/>
          <w:szCs w:val="24"/>
        </w:rPr>
      </w:pPr>
      <w:r w:rsidRPr="006E17A4">
        <w:rPr>
          <w:rFonts w:ascii="Times New Roman" w:hAnsi="Times New Roman"/>
          <w:noProof/>
          <w:sz w:val="20"/>
          <w:szCs w:val="20"/>
          <w:lang w:val="es-ES_tradnl" w:eastAsia="es-ES_tradnl"/>
        </w:rPr>
        <w:drawing>
          <wp:inline distT="0" distB="0" distL="0" distR="0">
            <wp:extent cx="5400040" cy="1865468"/>
            <wp:effectExtent l="0" t="0" r="0" b="0"/>
            <wp:docPr id="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2187A" w:rsidRPr="0062187A" w:rsidRDefault="0062187A" w:rsidP="0062187A">
      <w:pPr>
        <w:spacing w:after="0" w:line="360" w:lineRule="auto"/>
        <w:jc w:val="center"/>
        <w:rPr>
          <w:rFonts w:ascii="Times New Roman" w:hAnsi="Times New Roman" w:cs="Times New Roman"/>
          <w:sz w:val="20"/>
          <w:szCs w:val="20"/>
        </w:rPr>
      </w:pPr>
      <w:r w:rsidRPr="0062187A">
        <w:rPr>
          <w:rFonts w:ascii="Times New Roman" w:hAnsi="Times New Roman" w:cs="Times New Roman"/>
          <w:b/>
          <w:sz w:val="20"/>
          <w:szCs w:val="20"/>
        </w:rPr>
        <w:t>Figura 3.</w:t>
      </w:r>
      <w:r w:rsidRPr="0062187A">
        <w:rPr>
          <w:rFonts w:ascii="Times New Roman" w:hAnsi="Times New Roman" w:cs="Times New Roman"/>
          <w:sz w:val="20"/>
          <w:szCs w:val="20"/>
        </w:rPr>
        <w:t xml:space="preserve"> Producción por parcela y rendimiento obtenido por tratamiento en el experimento.</w:t>
      </w:r>
    </w:p>
    <w:p w:rsidR="00A519F2" w:rsidRPr="0062187A" w:rsidRDefault="0062187A" w:rsidP="0062187A">
      <w:pPr>
        <w:spacing w:after="0" w:line="360" w:lineRule="auto"/>
        <w:jc w:val="center"/>
        <w:rPr>
          <w:rFonts w:ascii="Times New Roman" w:hAnsi="Times New Roman" w:cs="Times New Roman"/>
          <w:sz w:val="20"/>
          <w:szCs w:val="20"/>
        </w:rPr>
      </w:pPr>
      <w:r w:rsidRPr="0062187A">
        <w:rPr>
          <w:rFonts w:ascii="Times New Roman" w:hAnsi="Times New Roman" w:cs="Times New Roman"/>
          <w:sz w:val="20"/>
          <w:szCs w:val="20"/>
        </w:rPr>
        <w:t>Barras con superíndices diferentes difieren significativas según MDS, para p &lt; 0,05</w:t>
      </w:r>
    </w:p>
    <w:p w:rsidR="0061525A" w:rsidRPr="0061525A" w:rsidRDefault="0061525A" w:rsidP="0061525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3.5 </w:t>
      </w:r>
      <w:r w:rsidRPr="0061525A">
        <w:rPr>
          <w:rFonts w:ascii="Times New Roman" w:hAnsi="Times New Roman" w:cs="Times New Roman"/>
          <w:b/>
          <w:sz w:val="24"/>
          <w:szCs w:val="24"/>
        </w:rPr>
        <w:t>Rendimiento estimado</w:t>
      </w:r>
    </w:p>
    <w:p w:rsidR="00A519F2" w:rsidRDefault="0061525A" w:rsidP="0061525A">
      <w:pPr>
        <w:spacing w:after="0" w:line="360" w:lineRule="auto"/>
        <w:jc w:val="both"/>
        <w:rPr>
          <w:rFonts w:ascii="Times New Roman" w:hAnsi="Times New Roman" w:cs="Times New Roman"/>
          <w:sz w:val="24"/>
          <w:szCs w:val="24"/>
        </w:rPr>
      </w:pPr>
      <w:r w:rsidRPr="0061525A">
        <w:rPr>
          <w:rFonts w:ascii="Times New Roman" w:hAnsi="Times New Roman" w:cs="Times New Roman"/>
          <w:sz w:val="24"/>
          <w:szCs w:val="24"/>
        </w:rPr>
        <w:t xml:space="preserve">En correspondencia con la producción por parcela que se alcanzó en los distintos tratamientos de la investigación (Figura </w:t>
      </w:r>
      <w:r w:rsidR="002D747A">
        <w:rPr>
          <w:rFonts w:ascii="Times New Roman" w:hAnsi="Times New Roman" w:cs="Times New Roman"/>
          <w:sz w:val="24"/>
          <w:szCs w:val="24"/>
        </w:rPr>
        <w:t>4</w:t>
      </w:r>
      <w:r w:rsidRPr="0061525A">
        <w:rPr>
          <w:rFonts w:ascii="Times New Roman" w:hAnsi="Times New Roman" w:cs="Times New Roman"/>
          <w:sz w:val="24"/>
          <w:szCs w:val="24"/>
        </w:rPr>
        <w:t>), el mejor rendimiento se alcanzó en el tratamiento 1 con 1,96 t ha-1, este mostró diferencia significativa con los restantes tratamientos. El rendimiento obtenido en los tratamientos 1 y 2 supera al reportado en Cuba en el sector estatal, que según ONEI (2017) es de 1,20 t ha-1.</w:t>
      </w:r>
    </w:p>
    <w:p w:rsidR="0061525A" w:rsidRDefault="0061525A" w:rsidP="0061525A">
      <w:pPr>
        <w:spacing w:after="0" w:line="360" w:lineRule="auto"/>
        <w:jc w:val="center"/>
        <w:rPr>
          <w:rFonts w:ascii="Times New Roman" w:hAnsi="Times New Roman" w:cs="Times New Roman"/>
          <w:sz w:val="24"/>
          <w:szCs w:val="24"/>
        </w:rPr>
      </w:pPr>
      <w:r w:rsidRPr="006E17A4">
        <w:rPr>
          <w:rFonts w:ascii="Times New Roman" w:hAnsi="Times New Roman"/>
          <w:noProof/>
          <w:lang w:val="es-ES_tradnl" w:eastAsia="es-ES_tradnl"/>
        </w:rPr>
        <w:drawing>
          <wp:inline distT="0" distB="0" distL="0" distR="0">
            <wp:extent cx="3723640" cy="1807210"/>
            <wp:effectExtent l="0" t="0" r="0" b="0"/>
            <wp:docPr id="8"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1525A" w:rsidRPr="0061525A" w:rsidRDefault="0061525A" w:rsidP="0061525A">
      <w:pPr>
        <w:spacing w:after="0" w:line="360" w:lineRule="auto"/>
        <w:jc w:val="center"/>
        <w:rPr>
          <w:rFonts w:ascii="Times New Roman" w:hAnsi="Times New Roman" w:cs="Times New Roman"/>
          <w:sz w:val="20"/>
          <w:szCs w:val="20"/>
        </w:rPr>
      </w:pPr>
      <w:r w:rsidRPr="0061525A">
        <w:rPr>
          <w:rFonts w:ascii="Times New Roman" w:hAnsi="Times New Roman" w:cs="Times New Roman"/>
          <w:b/>
          <w:sz w:val="20"/>
          <w:szCs w:val="20"/>
        </w:rPr>
        <w:t>Figura 4.</w:t>
      </w:r>
      <w:r w:rsidRPr="0061525A">
        <w:rPr>
          <w:rFonts w:ascii="Times New Roman" w:hAnsi="Times New Roman" w:cs="Times New Roman"/>
          <w:sz w:val="20"/>
          <w:szCs w:val="20"/>
        </w:rPr>
        <w:t xml:space="preserve"> Rendimiento estimado a partir del obtenido por tratamiento en el experimento.</w:t>
      </w:r>
    </w:p>
    <w:p w:rsidR="0061525A" w:rsidRDefault="0061525A" w:rsidP="0061525A">
      <w:pPr>
        <w:spacing w:after="0" w:line="360" w:lineRule="auto"/>
        <w:jc w:val="center"/>
        <w:rPr>
          <w:rFonts w:ascii="Times New Roman" w:hAnsi="Times New Roman" w:cs="Times New Roman"/>
          <w:sz w:val="20"/>
          <w:szCs w:val="20"/>
        </w:rPr>
      </w:pPr>
      <w:r w:rsidRPr="0061525A">
        <w:rPr>
          <w:rFonts w:ascii="Times New Roman" w:hAnsi="Times New Roman" w:cs="Times New Roman"/>
          <w:sz w:val="20"/>
          <w:szCs w:val="20"/>
        </w:rPr>
        <w:t>Barras con superíndices diferentes difieren significativas según MDS, para p &lt; 0,05.</w:t>
      </w:r>
    </w:p>
    <w:p w:rsidR="0061525A" w:rsidRPr="0061525A" w:rsidRDefault="0061525A" w:rsidP="0061525A">
      <w:pPr>
        <w:spacing w:after="0" w:line="360" w:lineRule="auto"/>
        <w:jc w:val="both"/>
        <w:rPr>
          <w:rFonts w:ascii="Times New Roman" w:hAnsi="Times New Roman" w:cs="Times New Roman"/>
          <w:sz w:val="24"/>
          <w:szCs w:val="24"/>
        </w:rPr>
      </w:pPr>
      <w:r w:rsidRPr="0061525A">
        <w:rPr>
          <w:rFonts w:ascii="Times New Roman" w:hAnsi="Times New Roman" w:cs="Times New Roman"/>
          <w:sz w:val="24"/>
          <w:szCs w:val="24"/>
        </w:rPr>
        <w:t xml:space="preserve">Estos resultados están en correspondencia con los alcanzados en los diferentes componentes del rendimiento. Según De La Fé et al (2016) el número de semillas por </w:t>
      </w:r>
      <w:r w:rsidRPr="0061525A">
        <w:rPr>
          <w:rFonts w:ascii="Times New Roman" w:hAnsi="Times New Roman" w:cs="Times New Roman"/>
          <w:sz w:val="24"/>
          <w:szCs w:val="24"/>
        </w:rPr>
        <w:lastRenderedPageBreak/>
        <w:t>legumbre y la cantidad de legumbres por planta definen en gran medida el rendimiento de este cultivo.</w:t>
      </w:r>
    </w:p>
    <w:p w:rsidR="0061525A" w:rsidRPr="0061525A" w:rsidRDefault="0061525A" w:rsidP="0061525A">
      <w:pPr>
        <w:spacing w:after="0" w:line="360" w:lineRule="auto"/>
        <w:jc w:val="both"/>
        <w:rPr>
          <w:rFonts w:ascii="Times New Roman" w:hAnsi="Times New Roman" w:cs="Times New Roman"/>
          <w:sz w:val="24"/>
          <w:szCs w:val="24"/>
        </w:rPr>
      </w:pPr>
      <w:r w:rsidRPr="0061525A">
        <w:rPr>
          <w:rFonts w:ascii="Times New Roman" w:hAnsi="Times New Roman" w:cs="Times New Roman"/>
          <w:sz w:val="24"/>
          <w:szCs w:val="24"/>
        </w:rPr>
        <w:t>Los resultados del rendimiento en la presente investigación confirman la importancia que tiene el manejo de las plantas arvenses en el frijol. El manejo de arvenses es uno de los principales problemas que aún no se ha resuelto del todo en las áreas de cultivos y en particular en la siembra de granos. Investigaciones de varios autores advierten sobre la importancia de la interferencia de las arvenses sobre el de este cultivo. Parreira et al. (2011) obtuvieron una reducción en los rendimientos de hasta un 58 %, cuando no fue realizado el control de arvenses en diferentes densidades de siembra.</w:t>
      </w:r>
    </w:p>
    <w:p w:rsidR="00FF3346" w:rsidRPr="00FF3346" w:rsidRDefault="0061525A" w:rsidP="00C70E85">
      <w:pPr>
        <w:spacing w:after="0" w:line="360" w:lineRule="auto"/>
        <w:jc w:val="both"/>
        <w:rPr>
          <w:rFonts w:ascii="Times New Roman" w:hAnsi="Times New Roman" w:cs="Times New Roman"/>
          <w:b/>
          <w:sz w:val="24"/>
          <w:szCs w:val="24"/>
        </w:rPr>
      </w:pPr>
      <w:r w:rsidRPr="0061525A">
        <w:rPr>
          <w:rFonts w:ascii="Times New Roman" w:hAnsi="Times New Roman" w:cs="Times New Roman"/>
          <w:sz w:val="24"/>
          <w:szCs w:val="24"/>
        </w:rPr>
        <w:t xml:space="preserve"> </w:t>
      </w:r>
      <w:r w:rsidR="00FF3346" w:rsidRPr="00FF3346">
        <w:rPr>
          <w:rFonts w:ascii="Times New Roman" w:hAnsi="Times New Roman" w:cs="Times New Roman"/>
          <w:b/>
          <w:sz w:val="24"/>
          <w:szCs w:val="24"/>
        </w:rPr>
        <w:t>4. Conclusiones</w:t>
      </w:r>
    </w:p>
    <w:p w:rsidR="0061525A" w:rsidRPr="0061525A" w:rsidRDefault="0061525A" w:rsidP="0061525A">
      <w:pPr>
        <w:spacing w:after="0" w:line="360" w:lineRule="auto"/>
        <w:jc w:val="both"/>
        <w:rPr>
          <w:rFonts w:ascii="Times New Roman" w:hAnsi="Times New Roman" w:cs="Times New Roman"/>
          <w:sz w:val="24"/>
          <w:szCs w:val="24"/>
        </w:rPr>
      </w:pPr>
      <w:r w:rsidRPr="0061525A">
        <w:rPr>
          <w:rFonts w:ascii="Times New Roman" w:hAnsi="Times New Roman" w:cs="Times New Roman"/>
          <w:sz w:val="24"/>
          <w:szCs w:val="24"/>
        </w:rPr>
        <w:t xml:space="preserve">1. La población de arvenses presente en el cultivo del frijol en los tres tratamientos utilizados estuvo representada por 15 especies, pertenecientes a nueve familias botánicas con predomino de </w:t>
      </w:r>
      <w:r w:rsidRPr="009477E0">
        <w:rPr>
          <w:rFonts w:ascii="Times New Roman" w:hAnsi="Times New Roman" w:cs="Times New Roman"/>
          <w:i/>
          <w:sz w:val="24"/>
          <w:szCs w:val="24"/>
        </w:rPr>
        <w:t>Poaceae</w:t>
      </w:r>
      <w:r w:rsidRPr="0061525A">
        <w:rPr>
          <w:rFonts w:ascii="Times New Roman" w:hAnsi="Times New Roman" w:cs="Times New Roman"/>
          <w:sz w:val="24"/>
          <w:szCs w:val="24"/>
        </w:rPr>
        <w:t xml:space="preserve"> y </w:t>
      </w:r>
      <w:r w:rsidRPr="009477E0">
        <w:rPr>
          <w:rFonts w:ascii="Times New Roman" w:hAnsi="Times New Roman" w:cs="Times New Roman"/>
          <w:i/>
          <w:sz w:val="24"/>
          <w:szCs w:val="24"/>
        </w:rPr>
        <w:t>Asteraceae</w:t>
      </w:r>
      <w:r w:rsidRPr="0061525A">
        <w:rPr>
          <w:rFonts w:ascii="Times New Roman" w:hAnsi="Times New Roman" w:cs="Times New Roman"/>
          <w:sz w:val="24"/>
          <w:szCs w:val="24"/>
        </w:rPr>
        <w:t>. El tratamiento con más especies registradas fue el que tuvo control de arvenses entre los 40 y 60 días después de la siembra.</w:t>
      </w:r>
    </w:p>
    <w:p w:rsidR="0061525A" w:rsidRPr="0061525A" w:rsidRDefault="0061525A" w:rsidP="0061525A">
      <w:pPr>
        <w:spacing w:after="0" w:line="360" w:lineRule="auto"/>
        <w:jc w:val="both"/>
        <w:rPr>
          <w:rFonts w:ascii="Times New Roman" w:hAnsi="Times New Roman" w:cs="Times New Roman"/>
          <w:sz w:val="24"/>
          <w:szCs w:val="24"/>
        </w:rPr>
      </w:pPr>
      <w:r w:rsidRPr="0061525A">
        <w:rPr>
          <w:rFonts w:ascii="Times New Roman" w:hAnsi="Times New Roman" w:cs="Times New Roman"/>
          <w:sz w:val="24"/>
          <w:szCs w:val="24"/>
        </w:rPr>
        <w:t xml:space="preserve">2. Existió un equilibrio entre las especies que se presentaron en los tres tratamientos y las arvenses que alcanzaron los mayores valores en la Abundancia relativa en el cultivo fueron </w:t>
      </w:r>
      <w:r w:rsidRPr="009477E0">
        <w:rPr>
          <w:rFonts w:ascii="Times New Roman" w:hAnsi="Times New Roman" w:cs="Times New Roman"/>
          <w:i/>
          <w:sz w:val="24"/>
          <w:szCs w:val="24"/>
        </w:rPr>
        <w:t>Echinochloa colona</w:t>
      </w:r>
      <w:r w:rsidRPr="0061525A">
        <w:rPr>
          <w:rFonts w:ascii="Times New Roman" w:hAnsi="Times New Roman" w:cs="Times New Roman"/>
          <w:sz w:val="24"/>
          <w:szCs w:val="24"/>
        </w:rPr>
        <w:t xml:space="preserve"> (L.) Link. </w:t>
      </w:r>
      <w:proofErr w:type="gramStart"/>
      <w:r w:rsidRPr="0061525A">
        <w:rPr>
          <w:rFonts w:ascii="Times New Roman" w:hAnsi="Times New Roman" w:cs="Times New Roman"/>
          <w:sz w:val="24"/>
          <w:szCs w:val="24"/>
        </w:rPr>
        <w:t>y</w:t>
      </w:r>
      <w:proofErr w:type="gramEnd"/>
      <w:r w:rsidRPr="0061525A">
        <w:rPr>
          <w:rFonts w:ascii="Times New Roman" w:hAnsi="Times New Roman" w:cs="Times New Roman"/>
          <w:sz w:val="24"/>
          <w:szCs w:val="24"/>
        </w:rPr>
        <w:t xml:space="preserve"> </w:t>
      </w:r>
      <w:r w:rsidRPr="009477E0">
        <w:rPr>
          <w:rFonts w:ascii="Times New Roman" w:hAnsi="Times New Roman" w:cs="Times New Roman"/>
          <w:i/>
          <w:sz w:val="24"/>
          <w:szCs w:val="24"/>
        </w:rPr>
        <w:t>Portulaca oleraceae</w:t>
      </w:r>
      <w:r w:rsidRPr="0061525A">
        <w:rPr>
          <w:rFonts w:ascii="Times New Roman" w:hAnsi="Times New Roman" w:cs="Times New Roman"/>
          <w:sz w:val="24"/>
          <w:szCs w:val="24"/>
        </w:rPr>
        <w:t xml:space="preserve"> L. </w:t>
      </w:r>
    </w:p>
    <w:p w:rsidR="0061525A" w:rsidRDefault="0061525A" w:rsidP="0061525A">
      <w:pPr>
        <w:spacing w:after="0" w:line="360" w:lineRule="auto"/>
        <w:jc w:val="both"/>
        <w:rPr>
          <w:rFonts w:ascii="Times New Roman" w:hAnsi="Times New Roman" w:cs="Times New Roman"/>
          <w:sz w:val="24"/>
          <w:szCs w:val="24"/>
        </w:rPr>
      </w:pPr>
      <w:r w:rsidRPr="0061525A">
        <w:rPr>
          <w:rFonts w:ascii="Times New Roman" w:hAnsi="Times New Roman" w:cs="Times New Roman"/>
          <w:sz w:val="24"/>
          <w:szCs w:val="24"/>
        </w:rPr>
        <w:t xml:space="preserve"> 3. El tratamiento con mejores resultados en el rendimiento agrícola fue control de arvenses hasta los 60 días después de la siembra y sus componentes más afectados por la interferencia de las arvenses fueron el número de semillas por plantas y la producción por plantas.</w:t>
      </w:r>
    </w:p>
    <w:p w:rsidR="00FF3346" w:rsidRDefault="00FF3346" w:rsidP="00FF3346">
      <w:pPr>
        <w:spacing w:after="0"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5. Referencias bibliográficas</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BLANCO, Y. y LEYVA, A. 2011. Determinación del período crítico de competencia de las arvenses con el cultivo del frijol (Phaseolus vulgaris L.). Revista Cultivos Tropicales, V. 32, N. 2, La Habana, Cuba, pág. 143-153.</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BLANCO, Y. y LEYVA, A. 2013. Las arvenses y su entomofauna asociada en el cultivo del frijol (Phaseolus vulgaris L.) posterior al período crítico de competencia. Revista Avances en Investigación Agropecuaria, V. 17, N. 3, Colina, México, pág. 51-65.</w:t>
      </w:r>
    </w:p>
    <w:p w:rsidR="0061525A" w:rsidRPr="0061525A" w:rsidRDefault="0061525A" w:rsidP="0061525A">
      <w:pPr>
        <w:spacing w:after="0" w:line="360" w:lineRule="auto"/>
        <w:ind w:left="284" w:hanging="284"/>
        <w:jc w:val="both"/>
        <w:rPr>
          <w:rFonts w:ascii="Times New Roman" w:hAnsi="Times New Roman" w:cs="Times New Roman"/>
          <w:sz w:val="24"/>
          <w:szCs w:val="24"/>
          <w:lang w:val="en-US"/>
        </w:rPr>
      </w:pPr>
      <w:r w:rsidRPr="0061525A">
        <w:rPr>
          <w:rFonts w:ascii="Times New Roman" w:hAnsi="Times New Roman" w:cs="Times New Roman"/>
          <w:sz w:val="24"/>
          <w:szCs w:val="24"/>
          <w:lang w:val="en-US"/>
        </w:rPr>
        <w:t>BOWMAN, W.D, HACKER S.D y CAIN M.L. 2017. Ecology. Fourth edition. Sinaver Associates, Massachusetts, USA, 362 p.</w:t>
      </w:r>
    </w:p>
    <w:p w:rsidR="0061525A" w:rsidRPr="0061525A" w:rsidRDefault="0061525A" w:rsidP="0061525A">
      <w:pPr>
        <w:spacing w:after="0" w:line="360" w:lineRule="auto"/>
        <w:ind w:left="284" w:hanging="284"/>
        <w:jc w:val="both"/>
        <w:rPr>
          <w:rFonts w:ascii="Times New Roman" w:hAnsi="Times New Roman" w:cs="Times New Roman"/>
          <w:sz w:val="24"/>
          <w:szCs w:val="24"/>
          <w:lang w:val="en-US"/>
        </w:rPr>
      </w:pPr>
      <w:r w:rsidRPr="0061525A">
        <w:rPr>
          <w:rFonts w:ascii="Times New Roman" w:hAnsi="Times New Roman" w:cs="Times New Roman"/>
          <w:sz w:val="24"/>
          <w:szCs w:val="24"/>
        </w:rPr>
        <w:lastRenderedPageBreak/>
        <w:t xml:space="preserve">CURTIS, J. T. Y MCINTOSH, R. P. 1951. </w:t>
      </w:r>
      <w:r w:rsidRPr="0061525A">
        <w:rPr>
          <w:rFonts w:ascii="Times New Roman" w:hAnsi="Times New Roman" w:cs="Times New Roman"/>
          <w:sz w:val="24"/>
          <w:szCs w:val="24"/>
          <w:lang w:val="en-US"/>
        </w:rPr>
        <w:t>An upland forest continuum in the prairie-forest border region of Wisconsin. p 476-496.</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DE LA FÉ, C. F., LAMZ, A., CÁRDENAS, R. M., y HERNÁNDEZ, J. 2016. Repuesta agronómica de cultivares de frijol común (Phaseolus vulgaris L.) de reciente introducción en Cuba. Revista Cultivos Tropicales, V. 37, N. 2, La Habana, Cuba, pág. 02-107.</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FAO. 2007. Fertilización de los Cultivos Básicos. INCA RURAL. Área Técnica 2. Disponible en sitio web: http://www.fao.stat.org. Consultado el 10 de febrero de 2018.</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 xml:space="preserve">FUENTES, C. </w:t>
      </w:r>
      <w:r w:rsidR="007D0D09">
        <w:rPr>
          <w:rFonts w:ascii="Times New Roman" w:hAnsi="Times New Roman" w:cs="Times New Roman"/>
          <w:sz w:val="24"/>
          <w:szCs w:val="24"/>
        </w:rPr>
        <w:t>1</w:t>
      </w:r>
      <w:r w:rsidRPr="0061525A">
        <w:rPr>
          <w:rFonts w:ascii="Times New Roman" w:hAnsi="Times New Roman" w:cs="Times New Roman"/>
          <w:sz w:val="24"/>
          <w:szCs w:val="24"/>
        </w:rPr>
        <w:t>991</w:t>
      </w:r>
      <w:bookmarkStart w:id="0" w:name="_GoBack"/>
      <w:bookmarkEnd w:id="0"/>
      <w:r w:rsidRPr="0061525A">
        <w:rPr>
          <w:rFonts w:ascii="Times New Roman" w:hAnsi="Times New Roman" w:cs="Times New Roman"/>
          <w:sz w:val="24"/>
          <w:szCs w:val="24"/>
        </w:rPr>
        <w:t>. Notas sobre aspectos taxonómicos y biológicos de Echinochloa Beavois. Comalfi 18: p38-46.</w:t>
      </w:r>
    </w:p>
    <w:p w:rsidR="0061525A" w:rsidRPr="0061525A" w:rsidRDefault="0061525A" w:rsidP="0061525A">
      <w:pPr>
        <w:spacing w:after="0" w:line="360" w:lineRule="auto"/>
        <w:ind w:left="284" w:hanging="284"/>
        <w:jc w:val="both"/>
        <w:rPr>
          <w:rFonts w:ascii="Times New Roman" w:hAnsi="Times New Roman" w:cs="Times New Roman"/>
          <w:sz w:val="24"/>
          <w:szCs w:val="24"/>
          <w:lang w:val="en-US"/>
        </w:rPr>
      </w:pPr>
      <w:r w:rsidRPr="0061525A">
        <w:rPr>
          <w:rFonts w:ascii="Times New Roman" w:hAnsi="Times New Roman" w:cs="Times New Roman"/>
          <w:sz w:val="24"/>
          <w:szCs w:val="24"/>
        </w:rPr>
        <w:t>HERNÁNDEZ, A., PÉREZ, J.M., BOSCH, D., y CASTRO, N. 2015. Clasificación de los suelos de Cuba 2015. Editoriales Instituto Nacional de Ciencias Agrícolas e Instituto de Suelos, Cuba, 93 p. Disponible en: http://faostat.fao.org/DesktopDefault.aspx?PageID=567&amp;lang=es#</w:t>
      </w:r>
      <w:r w:rsidR="00E570F1" w:rsidRPr="0061525A">
        <w:rPr>
          <w:rFonts w:ascii="Times New Roman" w:hAnsi="Times New Roman" w:cs="Times New Roman"/>
          <w:sz w:val="24"/>
          <w:szCs w:val="24"/>
        </w:rPr>
        <w:t xml:space="preserve">ancor. </w:t>
      </w:r>
      <w:r w:rsidRPr="0061525A">
        <w:rPr>
          <w:rFonts w:ascii="Times New Roman" w:hAnsi="Times New Roman" w:cs="Times New Roman"/>
          <w:sz w:val="24"/>
          <w:szCs w:val="24"/>
          <w:lang w:val="en-US"/>
        </w:rPr>
        <w:t xml:space="preserve">[Consulta 5 noviembre 2017]. </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lang w:val="en-US"/>
        </w:rPr>
        <w:t xml:space="preserve">MASSON, A.; BRYSSNT, S. 1974. The structure and diversity of the animal communities in a broad land reeds warp. </w:t>
      </w:r>
      <w:r w:rsidRPr="0061525A">
        <w:rPr>
          <w:rFonts w:ascii="Times New Roman" w:hAnsi="Times New Roman" w:cs="Times New Roman"/>
          <w:sz w:val="24"/>
          <w:szCs w:val="24"/>
        </w:rPr>
        <w:t>J. Zool. 172: 289-302.</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 xml:space="preserve">NAJUL, C. y ANZALONE, A. 2006. Control de malezas con cobertura vegetal en el cultivo de la Caraota negra (Phaseolus vulgaris L.). Revista Bioagro, V. 18, N. 2, Barquisimeto, Venezuela. </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 xml:space="preserve">ONEI. 2017. Anuario estadístico de Cuba. Disponible en: http://www.onei.cu/aec2017.htm/  [consulta 26 noviembre 2018].  </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PARREIRA, M.C., ALVES, P.L. y PEÑAHERRERA-COLINA, L.A. 2011. Influencia de las malezas sobre el cultivo de frijol en función de espaciamiento y de la densidad de plantas. Revista Planta Daninha, Viçosa-MG, V. 29, N. 4, Brasil, pàg. 761-769.</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PARREIRA, M.C., PEÑA</w:t>
      </w:r>
      <w:r w:rsidR="007D0D09">
        <w:rPr>
          <w:rFonts w:ascii="Times New Roman" w:hAnsi="Times New Roman" w:cs="Times New Roman"/>
          <w:sz w:val="24"/>
          <w:szCs w:val="24"/>
        </w:rPr>
        <w:t xml:space="preserve"> </w:t>
      </w:r>
      <w:r w:rsidRPr="0061525A">
        <w:rPr>
          <w:rFonts w:ascii="Times New Roman" w:hAnsi="Times New Roman" w:cs="Times New Roman"/>
          <w:sz w:val="24"/>
          <w:szCs w:val="24"/>
        </w:rPr>
        <w:t xml:space="preserve">HERRERA-COLINA, L.A., ALVES, P.L. y PEREIRA, F.C.M. 2013. Interferencia de malezas en el cultivo de frijol en dos sistemas de labranzas. Revista Planta Daninha, Viçosa-MG, V. 31, N. 2, Brasil, pág. 319-327. </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 xml:space="preserve">QUINTERO, E. y GIL, V.D. 2012. Instrucciones básicas para el cultivo del frijol común (Phaseolus vulgaris L.) en Cuba. Universidad Central “Marta Abreu” de Las Villas, Cuba, 7 p. </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lastRenderedPageBreak/>
        <w:t xml:space="preserve">RODRÍGUEZ ALCALÁ, C. 2014. Estudio comparativo de la propagación y el efecto de la radiación lumínica, en una variedad comercial y una población natural de Portulaca oleracea L. Trabajo Fin de Grado Inédito. Universidad de Sevilla. Disponible en: https://idus.us.es/xmlui/handle/11441/72586 [consulta 25 enero 2018].   </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 xml:space="preserve">RODRÍGUEZ, Y., PAREDES, E., GUTIÉRREZ, J.E. y AULÁN, N. 2013. Principales arvenses en el cultivo del frijol común en las provincias de Artemisa y Mayabeque. Revista Fitosanidad, V. 17,    N. 3, La Habana, Cuba, pàg. 139-144. </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ROSABAL, L., MARTÍNEZ, L., REYES, Y. y NÚÑEZ, M. 2013. Resultados preliminares del efecto de la aplicación de Biobras-16 en el cultivo del frijol (Phaseolus vulgaris L.). Revista Cultivos Tropicales, V. 34, N. 3, La Habana, Cuba, pág. 71-75.</w:t>
      </w:r>
    </w:p>
    <w:p w:rsidR="0061525A" w:rsidRPr="0061525A"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ULLOA, J. A., ULLOA, M., RAMÍREZ, J.C. y ULLOA, B. E. 2011. El frijol (Phaseolus vulgaris): su importancia nutricional y como fuente de fotoquímicos. Revista Fuente A. 3 N. 8, Sevilla, España. Disponible en:   http://fuente.uan.edu.mx/publicaciones/03-08/1 .pdf   [consulta 21 diciembre 2017].</w:t>
      </w:r>
    </w:p>
    <w:p w:rsidR="008F56D5" w:rsidRDefault="0061525A" w:rsidP="0061525A">
      <w:pPr>
        <w:spacing w:after="0" w:line="360" w:lineRule="auto"/>
        <w:ind w:left="284" w:hanging="284"/>
        <w:jc w:val="both"/>
        <w:rPr>
          <w:rFonts w:ascii="Times New Roman" w:hAnsi="Times New Roman" w:cs="Times New Roman"/>
          <w:sz w:val="24"/>
          <w:szCs w:val="24"/>
        </w:rPr>
      </w:pPr>
      <w:r w:rsidRPr="0061525A">
        <w:rPr>
          <w:rFonts w:ascii="Times New Roman" w:hAnsi="Times New Roman" w:cs="Times New Roman"/>
          <w:sz w:val="24"/>
          <w:szCs w:val="24"/>
        </w:rPr>
        <w:t>VENEGAS, V. R. 1997. Indicadores de Sostenibilidad Predial. Agroecología y Desarrollo. Revista de CLADES, N. especial 11/12.</w:t>
      </w:r>
    </w:p>
    <w:sectPr w:rsidR="008F56D5" w:rsidSect="00C8585B">
      <w:headerReference w:type="default" r:id="rId11"/>
      <w:footerReference w:type="default" r:id="rId12"/>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20C6" w:rsidRDefault="004520C6" w:rsidP="00C8585B">
      <w:pPr>
        <w:spacing w:after="0" w:line="240" w:lineRule="auto"/>
      </w:pPr>
      <w:r>
        <w:separator/>
      </w:r>
    </w:p>
  </w:endnote>
  <w:endnote w:type="continuationSeparator" w:id="0">
    <w:p w:rsidR="004520C6" w:rsidRDefault="004520C6"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Droid Sans Fallback">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Liberation Sans">
    <w:altName w:val="Arial"/>
    <w:charset w:val="01"/>
    <w:family w:val="swiss"/>
    <w:pitch w:val="variable"/>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70190"/>
      <w:docPartObj>
        <w:docPartGallery w:val="Page Numbers (Bottom of Page)"/>
        <w:docPartUnique/>
      </w:docPartObj>
    </w:sdtPr>
    <w:sdtEndPr/>
    <w:sdtContent>
      <w:p w:rsidR="004C5BBC" w:rsidRDefault="004C5BBC">
        <w:pPr>
          <w:pStyle w:val="Piedepgina"/>
          <w:jc w:val="right"/>
        </w:pPr>
        <w:r>
          <w:fldChar w:fldCharType="begin"/>
        </w:r>
        <w:r>
          <w:instrText xml:space="preserve"> PAGE   \* MERGEFORMAT </w:instrText>
        </w:r>
        <w:r>
          <w:fldChar w:fldCharType="separate"/>
        </w:r>
        <w:r w:rsidR="007D0D09">
          <w:rPr>
            <w:noProof/>
          </w:rPr>
          <w:t>14</w:t>
        </w:r>
        <w:r>
          <w:rPr>
            <w:noProof/>
          </w:rPr>
          <w:fldChar w:fldCharType="end"/>
        </w:r>
      </w:p>
    </w:sdtContent>
  </w:sdt>
  <w:p w:rsidR="004C5BBC" w:rsidRPr="00C8585B" w:rsidRDefault="004C5BBC" w:rsidP="00A73C37">
    <w:pPr>
      <w:pStyle w:val="Encabezado"/>
      <w:jc w:val="center"/>
      <w:rPr>
        <w:rFonts w:ascii="Verdana" w:hAnsi="Verdana"/>
        <w:b/>
        <w:sz w:val="16"/>
        <w:szCs w:val="16"/>
        <w:lang w:val="es-ES_tradnl"/>
      </w:rPr>
    </w:pPr>
    <w:r>
      <w:rPr>
        <w:rFonts w:ascii="Verdana" w:hAnsi="Verdana"/>
        <w:b/>
        <w:sz w:val="16"/>
        <w:szCs w:val="16"/>
        <w:lang w:val="es-ES_tradnl"/>
      </w:rPr>
      <w:t>II Convención Científica Internacional 2019</w:t>
    </w:r>
  </w:p>
  <w:p w:rsidR="004C5BBC" w:rsidRPr="00C8585B" w:rsidRDefault="004C5BBC" w:rsidP="00A73C37">
    <w:pPr>
      <w:pStyle w:val="Encabezado"/>
      <w:jc w:val="center"/>
      <w:rPr>
        <w:rFonts w:ascii="Verdana" w:hAnsi="Verdana"/>
        <w:b/>
        <w:sz w:val="16"/>
        <w:szCs w:val="16"/>
        <w:lang w:val="es-ES_tradnl"/>
      </w:rPr>
    </w:pPr>
    <w:r w:rsidRPr="00C8585B">
      <w:rPr>
        <w:rFonts w:ascii="Verdana" w:hAnsi="Verdana"/>
        <w:b/>
        <w:sz w:val="16"/>
        <w:szCs w:val="16"/>
        <w:lang w:val="es-ES_tradnl"/>
      </w:rPr>
      <w:t>Universidad Central “Marta Abreu” de Las Villas</w:t>
    </w:r>
  </w:p>
  <w:p w:rsidR="004C5BBC" w:rsidRDefault="004C5BBC" w:rsidP="00A73C37">
    <w:pPr>
      <w:pStyle w:val="Encabezado"/>
      <w:jc w:val="center"/>
    </w:pPr>
    <w:r w:rsidRPr="00C8585B">
      <w:rPr>
        <w:rFonts w:ascii="Verdana" w:hAnsi="Verdana"/>
        <w:b/>
        <w:sz w:val="16"/>
        <w:szCs w:val="16"/>
        <w:lang w:val="es-ES_tradnl"/>
      </w:rPr>
      <w:t>CIENCIA, TECNOLOGÍA Y SOCIEDAD</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20C6" w:rsidRDefault="004520C6" w:rsidP="00C8585B">
      <w:pPr>
        <w:spacing w:after="0" w:line="240" w:lineRule="auto"/>
      </w:pPr>
      <w:r>
        <w:separator/>
      </w:r>
    </w:p>
  </w:footnote>
  <w:footnote w:type="continuationSeparator" w:id="0">
    <w:p w:rsidR="004520C6" w:rsidRDefault="004520C6" w:rsidP="00C858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764" w:type="dxa"/>
      <w:tblLayout w:type="fixed"/>
      <w:tblLook w:val="04A0" w:firstRow="1" w:lastRow="0" w:firstColumn="1" w:lastColumn="0" w:noHBand="0" w:noVBand="1"/>
    </w:tblPr>
    <w:tblGrid>
      <w:gridCol w:w="1242"/>
      <w:gridCol w:w="5890"/>
      <w:gridCol w:w="1632"/>
    </w:tblGrid>
    <w:tr w:rsidR="004C5BBC" w:rsidRPr="004D77C8" w:rsidTr="005754D8">
      <w:trPr>
        <w:trHeight w:val="991"/>
      </w:trPr>
      <w:tc>
        <w:tcPr>
          <w:tcW w:w="1242" w:type="dxa"/>
        </w:tcPr>
        <w:p w:rsidR="004C5BBC" w:rsidRPr="004D77C8" w:rsidRDefault="004C5BBC" w:rsidP="00C8585B">
          <w:pPr>
            <w:pStyle w:val="Encabezado"/>
            <w:jc w:val="both"/>
            <w:rPr>
              <w:rFonts w:ascii="Verdana" w:hAnsi="Verdana"/>
              <w:b/>
              <w:sz w:val="18"/>
              <w:szCs w:val="18"/>
              <w:lang w:val="es-ES_tradnl"/>
            </w:rPr>
          </w:pPr>
          <w:r>
            <w:rPr>
              <w:rFonts w:ascii="Liberation Sans" w:hAnsi="Liberation Sans"/>
              <w:noProof/>
              <w:sz w:val="28"/>
              <w:szCs w:val="28"/>
              <w:lang w:val="es-ES_tradnl" w:eastAsia="es-ES_tradnl"/>
            </w:rPr>
            <w:drawing>
              <wp:anchor distT="0" distB="0" distL="114300" distR="114300" simplePos="0" relativeHeight="251662336" behindDoc="1" locked="0" layoutInCell="1" allowOverlap="1">
                <wp:simplePos x="0" y="0"/>
                <wp:positionH relativeFrom="column">
                  <wp:posOffset>-8662</wp:posOffset>
                </wp:positionH>
                <wp:positionV relativeFrom="paragraph">
                  <wp:posOffset>-12712</wp:posOffset>
                </wp:positionV>
                <wp:extent cx="610678" cy="750498"/>
                <wp:effectExtent l="19050" t="0" r="0" b="0"/>
                <wp:wrapNone/>
                <wp:docPr id="3" name="Imagen 1" descr="C:\Users\Nadya\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dya\Desktop\logo.png"/>
                        <pic:cNvPicPr>
                          <a:picLocks noChangeAspect="1" noChangeArrowheads="1"/>
                        </pic:cNvPicPr>
                      </pic:nvPicPr>
                      <pic:blipFill>
                        <a:blip r:embed="rId1"/>
                        <a:srcRect/>
                        <a:stretch>
                          <a:fillRect/>
                        </a:stretch>
                      </pic:blipFill>
                      <pic:spPr bwMode="auto">
                        <a:xfrm>
                          <a:off x="0" y="0"/>
                          <a:ext cx="610678" cy="750498"/>
                        </a:xfrm>
                        <a:prstGeom prst="rect">
                          <a:avLst/>
                        </a:prstGeom>
                        <a:noFill/>
                        <a:ln w="9525">
                          <a:noFill/>
                          <a:miter lim="800000"/>
                          <a:headEnd/>
                          <a:tailEnd/>
                        </a:ln>
                      </pic:spPr>
                    </pic:pic>
                  </a:graphicData>
                </a:graphic>
              </wp:anchor>
            </w:drawing>
          </w:r>
        </w:p>
      </w:tc>
      <w:tc>
        <w:tcPr>
          <w:tcW w:w="5890" w:type="dxa"/>
        </w:tcPr>
        <w:p w:rsidR="004C5BBC" w:rsidRDefault="004C5BBC" w:rsidP="00C8585B">
          <w:pPr>
            <w:pStyle w:val="Encabezado"/>
            <w:jc w:val="center"/>
            <w:rPr>
              <w:rFonts w:ascii="Verdana" w:hAnsi="Verdana"/>
              <w:b/>
              <w:sz w:val="16"/>
              <w:szCs w:val="16"/>
              <w:lang w:val="es-ES_tradnl"/>
            </w:rPr>
          </w:pPr>
        </w:p>
        <w:p w:rsidR="004C5BBC" w:rsidRPr="00C8585B" w:rsidRDefault="004C5BBC" w:rsidP="005754D8">
          <w:pPr>
            <w:pStyle w:val="Encabezado"/>
            <w:jc w:val="center"/>
            <w:rPr>
              <w:rFonts w:ascii="Verdana" w:hAnsi="Verdana"/>
              <w:b/>
              <w:sz w:val="16"/>
              <w:szCs w:val="16"/>
              <w:lang w:val="es-ES_tradnl"/>
            </w:rPr>
          </w:pPr>
          <w:r>
            <w:rPr>
              <w:rFonts w:ascii="Verdana" w:hAnsi="Verdana"/>
              <w:b/>
              <w:sz w:val="16"/>
              <w:szCs w:val="16"/>
              <w:lang w:val="es-ES_tradnl"/>
            </w:rPr>
            <w:t>II Convención Científica Internacional 2019</w:t>
          </w:r>
        </w:p>
        <w:p w:rsidR="004C5BBC" w:rsidRPr="00C8585B" w:rsidRDefault="004C5BBC" w:rsidP="005754D8">
          <w:pPr>
            <w:pStyle w:val="Encabezado"/>
            <w:jc w:val="center"/>
            <w:rPr>
              <w:rFonts w:ascii="Verdana" w:hAnsi="Verdana"/>
              <w:b/>
              <w:sz w:val="16"/>
              <w:szCs w:val="16"/>
              <w:lang w:val="es-ES_tradnl"/>
            </w:rPr>
          </w:pPr>
          <w:r w:rsidRPr="00C8585B">
            <w:rPr>
              <w:rFonts w:ascii="Verdana" w:hAnsi="Verdana"/>
              <w:b/>
              <w:sz w:val="16"/>
              <w:szCs w:val="16"/>
              <w:lang w:val="es-ES_tradnl"/>
            </w:rPr>
            <w:t>Universidad Central “Marta Abreu” de Las Villas</w:t>
          </w:r>
        </w:p>
        <w:p w:rsidR="004C5BBC" w:rsidRPr="00125F56" w:rsidRDefault="004C5BBC" w:rsidP="00A73C37">
          <w:pPr>
            <w:pStyle w:val="Encabezado"/>
            <w:jc w:val="center"/>
            <w:rPr>
              <w:rFonts w:ascii="Verdana" w:hAnsi="Verdana"/>
              <w:b/>
              <w:sz w:val="16"/>
              <w:szCs w:val="16"/>
              <w:lang w:val="es-ES_tradnl"/>
            </w:rPr>
          </w:pPr>
          <w:r w:rsidRPr="00C8585B">
            <w:rPr>
              <w:rFonts w:ascii="Verdana" w:hAnsi="Verdana"/>
              <w:b/>
              <w:sz w:val="16"/>
              <w:szCs w:val="16"/>
              <w:lang w:val="es-ES_tradnl"/>
            </w:rPr>
            <w:t>CIENCIA, TECNOLOGÍA Y SOCIEDAD</w:t>
          </w:r>
        </w:p>
      </w:tc>
      <w:tc>
        <w:tcPr>
          <w:tcW w:w="1632" w:type="dxa"/>
        </w:tcPr>
        <w:p w:rsidR="004C5BBC" w:rsidRPr="004D77C8" w:rsidRDefault="004C5BBC" w:rsidP="009061A5">
          <w:pPr>
            <w:pStyle w:val="Encabezado"/>
            <w:jc w:val="right"/>
            <w:rPr>
              <w:rFonts w:ascii="Verdana" w:hAnsi="Verdana"/>
              <w:b/>
              <w:sz w:val="18"/>
              <w:szCs w:val="18"/>
              <w:lang w:val="es-ES_tradnl"/>
            </w:rPr>
          </w:pPr>
          <w:r w:rsidRPr="000E72AD">
            <w:rPr>
              <w:rFonts w:ascii="Verdana" w:hAnsi="Verdana"/>
              <w:b/>
              <w:noProof/>
              <w:sz w:val="18"/>
              <w:szCs w:val="18"/>
              <w:lang w:val="es-ES_tradnl" w:eastAsia="es-ES_tradnl"/>
            </w:rPr>
            <w:drawing>
              <wp:inline distT="0" distB="0" distL="0" distR="0">
                <wp:extent cx="329184" cy="700405"/>
                <wp:effectExtent l="0" t="0" r="0" b="0"/>
                <wp:docPr id="1" name="Imagen 1" descr="C:\Users\IRIAN\Downloads\logo-convencionuniversidadsantacla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RIAN\Downloads\logo-convencionuniversidadsantaclara.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67880" cy="782738"/>
                        </a:xfrm>
                        <a:prstGeom prst="rect">
                          <a:avLst/>
                        </a:prstGeom>
                        <a:noFill/>
                        <a:ln>
                          <a:noFill/>
                        </a:ln>
                      </pic:spPr>
                    </pic:pic>
                  </a:graphicData>
                </a:graphic>
              </wp:inline>
            </w:drawing>
          </w:r>
        </w:p>
      </w:tc>
    </w:tr>
  </w:tbl>
  <w:p w:rsidR="004C5BBC" w:rsidRDefault="004C5BB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8585B"/>
    <w:rsid w:val="00052D9A"/>
    <w:rsid w:val="000C14DC"/>
    <w:rsid w:val="000E72AD"/>
    <w:rsid w:val="001261CB"/>
    <w:rsid w:val="00130998"/>
    <w:rsid w:val="001964B1"/>
    <w:rsid w:val="002D747A"/>
    <w:rsid w:val="002E0882"/>
    <w:rsid w:val="002E272A"/>
    <w:rsid w:val="0033624A"/>
    <w:rsid w:val="00346C3F"/>
    <w:rsid w:val="00403285"/>
    <w:rsid w:val="004520C6"/>
    <w:rsid w:val="00477B0E"/>
    <w:rsid w:val="004C5BBC"/>
    <w:rsid w:val="00554F5A"/>
    <w:rsid w:val="005754D8"/>
    <w:rsid w:val="005F3CD1"/>
    <w:rsid w:val="0061525A"/>
    <w:rsid w:val="0062187A"/>
    <w:rsid w:val="006271E4"/>
    <w:rsid w:val="00667F10"/>
    <w:rsid w:val="006C60DD"/>
    <w:rsid w:val="00712C06"/>
    <w:rsid w:val="007D0D09"/>
    <w:rsid w:val="007F0CC0"/>
    <w:rsid w:val="0088159E"/>
    <w:rsid w:val="008A1C16"/>
    <w:rsid w:val="008A6355"/>
    <w:rsid w:val="008F56D5"/>
    <w:rsid w:val="009061A5"/>
    <w:rsid w:val="00917CE4"/>
    <w:rsid w:val="009477E0"/>
    <w:rsid w:val="009B1EF2"/>
    <w:rsid w:val="009D5E02"/>
    <w:rsid w:val="009D67CD"/>
    <w:rsid w:val="009F0906"/>
    <w:rsid w:val="00A21A1F"/>
    <w:rsid w:val="00A519F2"/>
    <w:rsid w:val="00A62A14"/>
    <w:rsid w:val="00A643D4"/>
    <w:rsid w:val="00A7358B"/>
    <w:rsid w:val="00A73C37"/>
    <w:rsid w:val="00AE2EDD"/>
    <w:rsid w:val="00B2024E"/>
    <w:rsid w:val="00B40E34"/>
    <w:rsid w:val="00B41E6F"/>
    <w:rsid w:val="00B80E97"/>
    <w:rsid w:val="00BA5839"/>
    <w:rsid w:val="00BE3655"/>
    <w:rsid w:val="00C46F05"/>
    <w:rsid w:val="00C70E85"/>
    <w:rsid w:val="00C8585B"/>
    <w:rsid w:val="00CD2BC3"/>
    <w:rsid w:val="00CF01A3"/>
    <w:rsid w:val="00D03A31"/>
    <w:rsid w:val="00D36D1C"/>
    <w:rsid w:val="00D73DE9"/>
    <w:rsid w:val="00E1702A"/>
    <w:rsid w:val="00E34B58"/>
    <w:rsid w:val="00E570F1"/>
    <w:rsid w:val="00E912D0"/>
    <w:rsid w:val="00EA039B"/>
    <w:rsid w:val="00F2736B"/>
    <w:rsid w:val="00F350F9"/>
    <w:rsid w:val="00F5719E"/>
    <w:rsid w:val="00F7181E"/>
    <w:rsid w:val="00F85358"/>
    <w:rsid w:val="00F97EEC"/>
    <w:rsid w:val="00FF33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FEC0C3C-9DE9-48F0-A8C4-083CAD0AC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7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character" w:customStyle="1" w:styleId="tlid-translation">
    <w:name w:val="tlid-translation"/>
    <w:rsid w:val="00346C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Hoja_de_c_lculo_de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269949852223569E-2"/>
          <c:y val="3.6595682544318206E-2"/>
          <c:w val="0.82467000244444633"/>
          <c:h val="0.6450571919250836"/>
        </c:manualLayout>
      </c:layout>
      <c:barChart>
        <c:barDir val="col"/>
        <c:grouping val="clustered"/>
        <c:varyColors val="0"/>
        <c:ser>
          <c:idx val="1"/>
          <c:order val="0"/>
          <c:tx>
            <c:strRef>
              <c:f>Hoja1!$C$1</c:f>
              <c:strCache>
                <c:ptCount val="1"/>
                <c:pt idx="0">
                  <c:v>%</c:v>
                </c:pt>
              </c:strCache>
            </c:strRef>
          </c:tx>
          <c:invertIfNegative val="0"/>
          <c:dLbls>
            <c:numFmt formatCode="#,##0.0" sourceLinked="0"/>
            <c:spPr>
              <a:noFill/>
              <a:ln w="23808">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Hoja1!$A$2:$A$10</c:f>
              <c:strCache>
                <c:ptCount val="9"/>
                <c:pt idx="0">
                  <c:v>Portulacaceae</c:v>
                </c:pt>
                <c:pt idx="1">
                  <c:v>Poaceae</c:v>
                </c:pt>
                <c:pt idx="2">
                  <c:v>Brassicaceae</c:v>
                </c:pt>
                <c:pt idx="3">
                  <c:v>Asteraceae</c:v>
                </c:pt>
                <c:pt idx="4">
                  <c:v>Onagraceae</c:v>
                </c:pt>
                <c:pt idx="5">
                  <c:v>Commelinacaea</c:v>
                </c:pt>
                <c:pt idx="6">
                  <c:v>Cyperaceae</c:v>
                </c:pt>
                <c:pt idx="7">
                  <c:v>Euphorbiaceae</c:v>
                </c:pt>
                <c:pt idx="8">
                  <c:v>Fabaceae</c:v>
                </c:pt>
              </c:strCache>
            </c:strRef>
          </c:cat>
          <c:val>
            <c:numRef>
              <c:f>Hoja1!$C$2:$C$10</c:f>
              <c:numCache>
                <c:formatCode>General</c:formatCode>
                <c:ptCount val="9"/>
                <c:pt idx="0">
                  <c:v>6.666666666666667</c:v>
                </c:pt>
                <c:pt idx="1">
                  <c:v>26.666666666666668</c:v>
                </c:pt>
                <c:pt idx="2">
                  <c:v>6.666666666666667</c:v>
                </c:pt>
                <c:pt idx="3">
                  <c:v>26.666666666666668</c:v>
                </c:pt>
                <c:pt idx="4">
                  <c:v>6.666666666666667</c:v>
                </c:pt>
                <c:pt idx="5">
                  <c:v>6.666666666666667</c:v>
                </c:pt>
                <c:pt idx="6">
                  <c:v>6.666666666666667</c:v>
                </c:pt>
                <c:pt idx="7">
                  <c:v>6.666666666666667</c:v>
                </c:pt>
                <c:pt idx="8">
                  <c:v>6.666666666666667</c:v>
                </c:pt>
              </c:numCache>
            </c:numRef>
          </c:val>
        </c:ser>
        <c:dLbls>
          <c:showLegendKey val="0"/>
          <c:showVal val="0"/>
          <c:showCatName val="0"/>
          <c:showSerName val="0"/>
          <c:showPercent val="0"/>
          <c:showBubbleSize val="0"/>
        </c:dLbls>
        <c:gapWidth val="150"/>
        <c:axId val="164169800"/>
        <c:axId val="164170584"/>
      </c:barChart>
      <c:catAx>
        <c:axId val="164169800"/>
        <c:scaling>
          <c:orientation val="minMax"/>
        </c:scaling>
        <c:delete val="0"/>
        <c:axPos val="b"/>
        <c:title>
          <c:tx>
            <c:rich>
              <a:bodyPr/>
              <a:lstStyle/>
              <a:p>
                <a:pPr>
                  <a:defRPr sz="999" b="1" i="0" u="none" strike="noStrike" baseline="0">
                    <a:solidFill>
                      <a:srgbClr val="000000"/>
                    </a:solidFill>
                    <a:latin typeface="Times New Roman"/>
                    <a:ea typeface="Times New Roman"/>
                    <a:cs typeface="Times New Roman"/>
                  </a:defRPr>
                </a:pPr>
                <a:r>
                  <a:rPr lang="es-ES_tradnl"/>
                  <a:t>Familias botánicas</a:t>
                </a:r>
              </a:p>
            </c:rich>
          </c:tx>
          <c:overlay val="0"/>
        </c:title>
        <c:numFmt formatCode="General" sourceLinked="1"/>
        <c:majorTickMark val="out"/>
        <c:minorTickMark val="none"/>
        <c:tickLblPos val="nextTo"/>
        <c:txPr>
          <a:bodyPr/>
          <a:lstStyle/>
          <a:p>
            <a:pPr>
              <a:defRPr sz="999">
                <a:latin typeface="Times New Roman" panose="02020603050405020304" pitchFamily="18" charset="0"/>
                <a:cs typeface="Times New Roman" panose="02020603050405020304" pitchFamily="18" charset="0"/>
              </a:defRPr>
            </a:pPr>
            <a:endParaRPr lang="es-ES_tradnl"/>
          </a:p>
        </c:txPr>
        <c:crossAx val="164170584"/>
        <c:crosses val="autoZero"/>
        <c:auto val="1"/>
        <c:lblAlgn val="ctr"/>
        <c:lblOffset val="100"/>
        <c:noMultiLvlLbl val="0"/>
      </c:catAx>
      <c:valAx>
        <c:axId val="164170584"/>
        <c:scaling>
          <c:orientation val="minMax"/>
        </c:scaling>
        <c:delete val="0"/>
        <c:axPos val="l"/>
        <c:majorGridlines/>
        <c:title>
          <c:tx>
            <c:rich>
              <a:bodyPr/>
              <a:lstStyle/>
              <a:p>
                <a:pPr>
                  <a:defRPr sz="999" b="1" i="0" u="none" strike="noStrike" baseline="0">
                    <a:solidFill>
                      <a:srgbClr val="000000"/>
                    </a:solidFill>
                    <a:latin typeface="Times New Roman"/>
                    <a:ea typeface="Times New Roman"/>
                    <a:cs typeface="Times New Roman"/>
                  </a:defRPr>
                </a:pPr>
                <a:r>
                  <a:rPr lang="es-ES_tradnl"/>
                  <a:t>Porciento de aparición</a:t>
                </a:r>
              </a:p>
            </c:rich>
          </c:tx>
          <c:overlay val="0"/>
        </c:title>
        <c:numFmt formatCode="General" sourceLinked="1"/>
        <c:majorTickMark val="out"/>
        <c:minorTickMark val="none"/>
        <c:tickLblPos val="nextTo"/>
        <c:txPr>
          <a:bodyPr/>
          <a:lstStyle/>
          <a:p>
            <a:pPr>
              <a:defRPr>
                <a:latin typeface="Arial" pitchFamily="34" charset="0"/>
                <a:cs typeface="Arial" pitchFamily="34" charset="0"/>
              </a:defRPr>
            </a:pPr>
            <a:endParaRPr lang="es-ES_tradnl"/>
          </a:p>
        </c:txPr>
        <c:crossAx val="164169800"/>
        <c:crosses val="autoZero"/>
        <c:crossBetween val="between"/>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0982980947313409E-2"/>
          <c:y val="0.11526285972539609"/>
          <c:w val="0.89781589613309554"/>
          <c:h val="0.80970063463166542"/>
        </c:manualLayout>
      </c:layout>
      <c:scatterChart>
        <c:scatterStyle val="lineMarker"/>
        <c:varyColors val="0"/>
        <c:ser>
          <c:idx val="0"/>
          <c:order val="0"/>
          <c:spPr>
            <a:ln w="12694">
              <a:solidFill>
                <a:srgbClr val="5B9BD5"/>
              </a:solidFill>
              <a:prstDash val="solid"/>
            </a:ln>
          </c:spPr>
          <c:marker>
            <c:symbol val="circle"/>
            <c:size val="4"/>
            <c:spPr>
              <a:solidFill>
                <a:srgbClr val="5B9BD5"/>
              </a:solidFill>
              <a:ln>
                <a:solidFill>
                  <a:srgbClr val="5B9BD5"/>
                </a:solidFill>
                <a:prstDash val="solid"/>
              </a:ln>
            </c:spPr>
          </c:marker>
          <c:dLbls>
            <c:dLbl>
              <c:idx val="0"/>
              <c:layout>
                <c:manualLayout>
                  <c:x val="5.7603686635944703E-3"/>
                  <c:y val="-2.7803521779425421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
              <c:layout>
                <c:manualLayout>
                  <c:x val="1.3440860215053764E-2"/>
                  <c:y val="0"/>
                </c:manualLayout>
              </c:layout>
              <c:dLblPos val="r"/>
              <c:showLegendKey val="0"/>
              <c:showVal val="0"/>
              <c:showCatName val="1"/>
              <c:showSerName val="0"/>
              <c:showPercent val="0"/>
              <c:showBubbleSize val="0"/>
              <c:extLst>
                <c:ext xmlns:c15="http://schemas.microsoft.com/office/drawing/2012/chart" uri="{CE6537A1-D6FC-4f65-9D91-7224C49458BB}"/>
              </c:extLst>
            </c:dLbl>
            <c:dLbl>
              <c:idx val="2"/>
              <c:layout>
                <c:manualLayout>
                  <c:x val="1.9201228878648233E-3"/>
                  <c:y val="-5.5607043558850787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
              <c:layout>
                <c:manualLayout>
                  <c:x val="1.9201228878648058E-3"/>
                  <c:y val="-3.3982082174853261E-2"/>
                </c:manualLayout>
              </c:layout>
              <c:dLblPos val="r"/>
              <c:showLegendKey val="0"/>
              <c:showVal val="0"/>
              <c:showCatName val="1"/>
              <c:showSerName val="0"/>
              <c:showPercent val="0"/>
              <c:showBubbleSize val="0"/>
              <c:extLst>
                <c:ext xmlns:c15="http://schemas.microsoft.com/office/drawing/2012/chart" uri="{CE6537A1-D6FC-4f65-9D91-7224C49458BB}"/>
              </c:extLst>
            </c:dLbl>
            <c:dLbl>
              <c:idx val="4"/>
              <c:layout>
                <c:manualLayout>
                  <c:x val="0"/>
                  <c:y val="-5.2517763361136859E-2"/>
                </c:manualLayout>
              </c:layout>
              <c:dLblPos val="r"/>
              <c:showLegendKey val="0"/>
              <c:showVal val="0"/>
              <c:showCatName val="1"/>
              <c:showSerName val="0"/>
              <c:showPercent val="0"/>
              <c:showBubbleSize val="0"/>
              <c:extLst>
                <c:ext xmlns:c15="http://schemas.microsoft.com/office/drawing/2012/chart" uri="{CE6537A1-D6FC-4f65-9D91-7224C49458BB}"/>
              </c:extLst>
            </c:dLbl>
            <c:dLbl>
              <c:idx val="5"/>
              <c:layout>
                <c:manualLayout>
                  <c:x val="5.7603686635944703E-3"/>
                  <c:y val="-4.6339202965708932E-2"/>
                </c:manualLayout>
              </c:layout>
              <c:dLblPos val="r"/>
              <c:showLegendKey val="0"/>
              <c:showVal val="0"/>
              <c:showCatName val="1"/>
              <c:showSerName val="0"/>
              <c:showPercent val="0"/>
              <c:showBubbleSize val="0"/>
              <c:extLst>
                <c:ext xmlns:c15="http://schemas.microsoft.com/office/drawing/2012/chart" uri="{CE6537A1-D6FC-4f65-9D91-7224C49458BB}"/>
              </c:extLst>
            </c:dLbl>
            <c:dLbl>
              <c:idx val="6"/>
              <c:layout>
                <c:manualLayout>
                  <c:x val="3.0721966205837174E-2"/>
                  <c:y val="-3.3982082174853261E-2"/>
                </c:manualLayout>
              </c:layout>
              <c:dLblPos val="r"/>
              <c:showLegendKey val="0"/>
              <c:showVal val="0"/>
              <c:showCatName val="1"/>
              <c:showSerName val="0"/>
              <c:showPercent val="0"/>
              <c:showBubbleSize val="0"/>
              <c:extLst>
                <c:ext xmlns:c15="http://schemas.microsoft.com/office/drawing/2012/chart" uri="{CE6537A1-D6FC-4f65-9D91-7224C49458BB}"/>
              </c:extLst>
            </c:dLbl>
            <c:dLbl>
              <c:idx val="7"/>
              <c:layout>
                <c:manualLayout>
                  <c:x val="2.1121351766513058E-2"/>
                  <c:y val="2.7803521779425393E-2"/>
                </c:manualLayout>
              </c:layout>
              <c:dLblPos val="r"/>
              <c:showLegendKey val="0"/>
              <c:showVal val="0"/>
              <c:showCatName val="1"/>
              <c:showSerName val="0"/>
              <c:showPercent val="0"/>
              <c:showBubbleSize val="0"/>
              <c:extLst>
                <c:ext xmlns:c15="http://schemas.microsoft.com/office/drawing/2012/chart" uri="{CE6537A1-D6FC-4f65-9D91-7224C49458BB}"/>
              </c:extLst>
            </c:dLbl>
            <c:dLbl>
              <c:idx val="8"/>
              <c:layout>
                <c:manualLayout>
                  <c:x val="1.7281105990783412E-2"/>
                  <c:y val="-3.0892801977140459E-3"/>
                </c:manualLayout>
              </c:layout>
              <c:dLblPos val="r"/>
              <c:showLegendKey val="0"/>
              <c:showVal val="0"/>
              <c:showCatName val="1"/>
              <c:showSerName val="0"/>
              <c:showPercent val="0"/>
              <c:showBubbleSize val="0"/>
              <c:extLst>
                <c:ext xmlns:c15="http://schemas.microsoft.com/office/drawing/2012/chart" uri="{CE6537A1-D6FC-4f65-9D91-7224C49458BB}"/>
              </c:extLst>
            </c:dLbl>
            <c:dLbl>
              <c:idx val="11"/>
              <c:layout>
                <c:manualLayout>
                  <c:x val="2.03074450263598E-2"/>
                  <c:y val="-5.3239549583383727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2"/>
              <c:layout>
                <c:manualLayout>
                  <c:x val="1.5786398968025455E-2"/>
                  <c:y val="-1.7178721697782957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3"/>
              <c:layout>
                <c:manualLayout>
                  <c:x val="1.1520737327188941E-2"/>
                  <c:y val="-3.7071362372567189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4"/>
              <c:layout>
                <c:manualLayout>
                  <c:x val="-9.6006144393241174E-3"/>
                  <c:y val="-9.8856966326845847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5"/>
              <c:layout>
                <c:manualLayout>
                  <c:x val="3.8402457757296467E-3"/>
                  <c:y val="-7.105344454742045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6"/>
              <c:layout>
                <c:manualLayout>
                  <c:x val="-7.6804915514592934E-3"/>
                  <c:y val="-5.5607043558850842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7"/>
              <c:layout>
                <c:manualLayout>
                  <c:x val="1.9201228878648235E-2"/>
                  <c:y val="-2.7803521779425449E-2"/>
                </c:manualLayout>
              </c:layout>
              <c:dLblPos val="r"/>
              <c:showLegendKey val="0"/>
              <c:showVal val="0"/>
              <c:showCatName val="1"/>
              <c:showSerName val="0"/>
              <c:showPercent val="0"/>
              <c:showBubbleSize val="0"/>
              <c:extLst>
                <c:ext xmlns:c15="http://schemas.microsoft.com/office/drawing/2012/chart" uri="{CE6537A1-D6FC-4f65-9D91-7224C49458BB}"/>
              </c:extLst>
            </c:dLbl>
            <c:dLbl>
              <c:idx val="18"/>
              <c:layout>
                <c:manualLayout>
                  <c:x val="1.7281105990783412E-2"/>
                  <c:y val="-9.2678405931417972E-3"/>
                </c:manualLayout>
              </c:layout>
              <c:dLblPos val="r"/>
              <c:showLegendKey val="0"/>
              <c:showVal val="0"/>
              <c:showCatName val="1"/>
              <c:showSerName val="0"/>
              <c:showPercent val="0"/>
              <c:showBubbleSize val="0"/>
              <c:extLst>
                <c:ext xmlns:c15="http://schemas.microsoft.com/office/drawing/2012/chart" uri="{CE6537A1-D6FC-4f65-9D91-7224C49458BB}"/>
              </c:extLst>
            </c:dLbl>
            <c:dLbl>
              <c:idx val="19"/>
              <c:layout>
                <c:manualLayout>
                  <c:x val="9.6006144393241174E-3"/>
                  <c:y val="-2.4714241581711462E-2"/>
                </c:manualLayout>
              </c:layout>
              <c:dLblPos val="r"/>
              <c:showLegendKey val="0"/>
              <c:showVal val="0"/>
              <c:showCatName val="1"/>
              <c:showSerName val="0"/>
              <c:showPercent val="0"/>
              <c:showBubbleSize val="0"/>
              <c:extLst>
                <c:ext xmlns:c15="http://schemas.microsoft.com/office/drawing/2012/chart" uri="{CE6537A1-D6FC-4f65-9D91-7224C49458BB}"/>
              </c:extLst>
            </c:dLbl>
            <c:dLbl>
              <c:idx val="20"/>
              <c:layout>
                <c:manualLayout>
                  <c:x val="0"/>
                  <c:y val="-3.7071362372567189E-2"/>
                </c:manualLayout>
              </c:layout>
              <c:dLblPos val="r"/>
              <c:showLegendKey val="0"/>
              <c:showVal val="0"/>
              <c:showCatName val="1"/>
              <c:showSerName val="0"/>
              <c:showPercent val="0"/>
              <c:showBubbleSize val="0"/>
              <c:extLst>
                <c:ext xmlns:c15="http://schemas.microsoft.com/office/drawing/2012/chart" uri="{CE6537A1-D6FC-4f65-9D91-7224C49458BB}"/>
              </c:extLst>
            </c:dLbl>
            <c:dLbl>
              <c:idx val="21"/>
              <c:layout>
                <c:manualLayout>
                  <c:x val="-1.5360983102918587E-2"/>
                  <c:y val="-7.723200494284832E-2"/>
                </c:manualLayout>
              </c:layout>
              <c:dLblPos val="r"/>
              <c:showLegendKey val="0"/>
              <c:showVal val="0"/>
              <c:showCatName val="1"/>
              <c:showSerName val="0"/>
              <c:showPercent val="0"/>
              <c:showBubbleSize val="0"/>
              <c:extLst>
                <c:ext xmlns:c15="http://schemas.microsoft.com/office/drawing/2012/chart" uri="{CE6537A1-D6FC-4f65-9D91-7224C49458BB}"/>
              </c:extLst>
            </c:dLbl>
            <c:dLbl>
              <c:idx val="22"/>
              <c:layout>
                <c:manualLayout>
                  <c:x val="1.5360983102918587E-2"/>
                  <c:y val="6.1785603954278654E-3"/>
                </c:manualLayout>
              </c:layout>
              <c:tx>
                <c:rich>
                  <a:bodyPr/>
                  <a:lstStyle/>
                  <a:p>
                    <a:r>
                      <a:rPr lang="en-US"/>
                      <a:t>D. cil</a:t>
                    </a:r>
                  </a:p>
                </c:rich>
              </c:tx>
              <c:dLblPos val="r"/>
              <c:showLegendKey val="0"/>
              <c:showVal val="0"/>
              <c:showCatName val="0"/>
              <c:showSerName val="0"/>
              <c:showPercent val="0"/>
              <c:showBubbleSize val="0"/>
              <c:extLst>
                <c:ext xmlns:c15="http://schemas.microsoft.com/office/drawing/2012/chart" uri="{CE6537A1-D6FC-4f65-9D91-7224C49458BB}"/>
              </c:extLst>
            </c:dLbl>
            <c:dLbl>
              <c:idx val="26"/>
              <c:layout>
                <c:manualLayout>
                  <c:x val="2.3041474654377881E-2"/>
                  <c:y val="-2.1624961383997558E-2"/>
                </c:manualLayout>
              </c:layout>
              <c:dLblPos val="r"/>
              <c:showLegendKey val="0"/>
              <c:showVal val="0"/>
              <c:showCatName val="1"/>
              <c:showSerName val="0"/>
              <c:showPercent val="0"/>
              <c:showBubbleSize val="0"/>
              <c:extLst>
                <c:ext xmlns:c15="http://schemas.microsoft.com/office/drawing/2012/chart" uri="{CE6537A1-D6FC-4f65-9D91-7224C49458BB}"/>
              </c:extLst>
            </c:dLbl>
            <c:dLbl>
              <c:idx val="27"/>
              <c:layout>
                <c:manualLayout>
                  <c:x val="2.3041474654377881E-2"/>
                  <c:y val="0"/>
                </c:manualLayout>
              </c:layout>
              <c:dLblPos val="r"/>
              <c:showLegendKey val="0"/>
              <c:showVal val="0"/>
              <c:showCatName val="1"/>
              <c:showSerName val="0"/>
              <c:showPercent val="0"/>
              <c:showBubbleSize val="0"/>
              <c:extLst>
                <c:ext xmlns:c15="http://schemas.microsoft.com/office/drawing/2012/chart" uri="{CE6537A1-D6FC-4f65-9D91-7224C49458BB}"/>
              </c:extLst>
            </c:dLbl>
            <c:dLbl>
              <c:idx val="28"/>
              <c:layout>
                <c:manualLayout>
                  <c:x val="1.7281105990783412E-2"/>
                  <c:y val="-6.1785603954278654E-3"/>
                </c:manualLayout>
              </c:layout>
              <c:dLblPos val="r"/>
              <c:showLegendKey val="0"/>
              <c:showVal val="0"/>
              <c:showCatName val="1"/>
              <c:showSerName val="0"/>
              <c:showPercent val="0"/>
              <c:showBubbleSize val="0"/>
              <c:extLst>
                <c:ext xmlns:c15="http://schemas.microsoft.com/office/drawing/2012/chart" uri="{CE6537A1-D6FC-4f65-9D91-7224C49458BB}"/>
              </c:extLst>
            </c:dLbl>
            <c:dLbl>
              <c:idx val="29"/>
              <c:layout>
                <c:manualLayout>
                  <c:x val="1.1520737327188941E-2"/>
                  <c:y val="-3.7071362372567189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0"/>
              <c:layout>
                <c:manualLayout>
                  <c:x val="1.1520762070805985E-2"/>
                  <c:y val="-4.6907448044404283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1"/>
              <c:layout>
                <c:manualLayout>
                  <c:x val="5.7603686635944703E-3"/>
                  <c:y val="-3.0892801977139325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2"/>
              <c:layout>
                <c:manualLayout>
                  <c:x val="3.2346317721115188E-2"/>
                  <c:y val="-4.5581515425325993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3"/>
              <c:layout>
                <c:manualLayout>
                  <c:x val="1.6576875259012235E-3"/>
                  <c:y val="-7.4441172381542256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4"/>
              <c:layout>
                <c:manualLayout>
                  <c:x val="1.7281105990783412E-2"/>
                  <c:y val="-2.7803521779425393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5"/>
              <c:layout>
                <c:manualLayout>
                  <c:x val="2.3697509138930296E-2"/>
                  <c:y val="-3.0090620694885051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6"/>
              <c:layout>
                <c:manualLayout>
                  <c:x val="2.0836508339683348E-2"/>
                  <c:y val="-8.3553353328516974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7"/>
              <c:layout>
                <c:manualLayout>
                  <c:x val="4.1625693965673505E-2"/>
                  <c:y val="-4.6150683898525661E-2"/>
                </c:manualLayout>
              </c:layout>
              <c:dLblPos val="r"/>
              <c:showLegendKey val="0"/>
              <c:showVal val="0"/>
              <c:showCatName val="1"/>
              <c:showSerName val="0"/>
              <c:showPercent val="0"/>
              <c:showBubbleSize val="0"/>
              <c:extLst>
                <c:ext xmlns:c15="http://schemas.microsoft.com/office/drawing/2012/chart" uri="{CE6537A1-D6FC-4f65-9D91-7224C49458BB}"/>
              </c:extLst>
            </c:dLbl>
            <c:dLbl>
              <c:idx val="38"/>
              <c:layout>
                <c:manualLayout>
                  <c:x val="1.7281105990783412E-2"/>
                  <c:y val="0"/>
                </c:manualLayout>
              </c:layout>
              <c:dLblPos val="r"/>
              <c:showLegendKey val="0"/>
              <c:showVal val="0"/>
              <c:showCatName val="1"/>
              <c:showSerName val="0"/>
              <c:showPercent val="0"/>
              <c:showBubbleSize val="0"/>
              <c:extLst>
                <c:ext xmlns:c15="http://schemas.microsoft.com/office/drawing/2012/chart" uri="{CE6537A1-D6FC-4f65-9D91-7224C49458BB}"/>
              </c:extLst>
            </c:dLbl>
            <c:spPr>
              <a:noFill/>
              <a:ln w="2538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_tradnl"/>
              </a:p>
            </c:txPr>
            <c:showLegendKey val="0"/>
            <c:showVal val="0"/>
            <c:showCatName val="1"/>
            <c:showSerName val="0"/>
            <c:showPercent val="0"/>
            <c:showBubbleSize val="0"/>
            <c:showLeaderLines val="0"/>
            <c:extLst>
              <c:ext xmlns:c15="http://schemas.microsoft.com/office/drawing/2012/chart" uri="{CE6537A1-D6FC-4f65-9D91-7224C49458BB}">
                <c15:showLeaderLines val="0"/>
              </c:ext>
            </c:extLst>
          </c:dLbls>
          <c:xVal>
            <c:strRef>
              <c:f>Sheet2!$A$2:$A$40</c:f>
              <c:strCache>
                <c:ptCount val="39"/>
                <c:pt idx="0">
                  <c:v>E. col.</c:v>
                </c:pt>
                <c:pt idx="1">
                  <c:v>P. ole.</c:v>
                </c:pt>
                <c:pt idx="2">
                  <c:v>C. rot.</c:v>
                </c:pt>
                <c:pt idx="3">
                  <c:v>L. mol.</c:v>
                </c:pt>
                <c:pt idx="4">
                  <c:v>C. dif.</c:v>
                </c:pt>
                <c:pt idx="5">
                  <c:v>E. ind</c:v>
                </c:pt>
                <c:pt idx="6">
                  <c:v>L. vir.</c:v>
                </c:pt>
                <c:pt idx="7">
                  <c:v>C. hir</c:v>
                </c:pt>
                <c:pt idx="8">
                  <c:v>A. con</c:v>
                </c:pt>
                <c:pt idx="11">
                  <c:v>P. ole.</c:v>
                </c:pt>
                <c:pt idx="12">
                  <c:v>E. col.</c:v>
                </c:pt>
                <c:pt idx="13">
                  <c:v>L. vir.</c:v>
                </c:pt>
                <c:pt idx="14">
                  <c:v>L. mol.</c:v>
                </c:pt>
                <c:pt idx="15">
                  <c:v>S. hal.</c:v>
                </c:pt>
                <c:pt idx="16">
                  <c:v>E. ind</c:v>
                </c:pt>
                <c:pt idx="17">
                  <c:v>C. hir</c:v>
                </c:pt>
                <c:pt idx="18">
                  <c:v>C. dif.</c:v>
                </c:pt>
                <c:pt idx="19">
                  <c:v>C. rot.</c:v>
                </c:pt>
                <c:pt idx="20">
                  <c:v>P. hys.</c:v>
                </c:pt>
                <c:pt idx="21">
                  <c:v>L. ere.</c:v>
                </c:pt>
                <c:pt idx="22">
                  <c:v>D. ads.</c:v>
                </c:pt>
                <c:pt idx="26">
                  <c:v>E. col.</c:v>
                </c:pt>
                <c:pt idx="27">
                  <c:v>P. ole.</c:v>
                </c:pt>
                <c:pt idx="28">
                  <c:v>L. mol.</c:v>
                </c:pt>
                <c:pt idx="29">
                  <c:v>C. dif.</c:v>
                </c:pt>
                <c:pt idx="30">
                  <c:v>S. hal.</c:v>
                </c:pt>
                <c:pt idx="31">
                  <c:v>C. hir</c:v>
                </c:pt>
                <c:pt idx="32">
                  <c:v>L. vir.</c:v>
                </c:pt>
                <c:pt idx="33">
                  <c:v>C. rot.</c:v>
                </c:pt>
                <c:pt idx="34">
                  <c:v>A. con</c:v>
                </c:pt>
                <c:pt idx="35">
                  <c:v>E. ind</c:v>
                </c:pt>
                <c:pt idx="36">
                  <c:v>L. ere.</c:v>
                </c:pt>
                <c:pt idx="37">
                  <c:v>X. chi.</c:v>
                </c:pt>
                <c:pt idx="38">
                  <c:v>A. ame.</c:v>
                </c:pt>
              </c:strCache>
            </c:strRef>
          </c:xVal>
          <c:yVal>
            <c:numRef>
              <c:f>Sheet2!$B$2:$B$40</c:f>
              <c:numCache>
                <c:formatCode>General</c:formatCode>
                <c:ptCount val="39"/>
                <c:pt idx="0">
                  <c:v>-0.44645243495321002</c:v>
                </c:pt>
                <c:pt idx="1">
                  <c:v>-0.53360261067211101</c:v>
                </c:pt>
                <c:pt idx="2">
                  <c:v>-0.91381385238371704</c:v>
                </c:pt>
                <c:pt idx="3">
                  <c:v>-1.0107238653917701</c:v>
                </c:pt>
                <c:pt idx="4">
                  <c:v>-1.39093510710338</c:v>
                </c:pt>
                <c:pt idx="5">
                  <c:v>-1.48784512011144</c:v>
                </c:pt>
                <c:pt idx="6">
                  <c:v>-1.6127838567197399</c:v>
                </c:pt>
                <c:pt idx="7">
                  <c:v>-1.6127838567197399</c:v>
                </c:pt>
                <c:pt idx="8">
                  <c:v>-2.0899051114393998</c:v>
                </c:pt>
                <c:pt idx="11">
                  <c:v>-0.48572142648158001</c:v>
                </c:pt>
                <c:pt idx="12">
                  <c:v>-0.53147891704225503</c:v>
                </c:pt>
                <c:pt idx="13">
                  <c:v>-0.90593782986477001</c:v>
                </c:pt>
                <c:pt idx="14">
                  <c:v>-1.28160144382566</c:v>
                </c:pt>
                <c:pt idx="15">
                  <c:v>-1.3395933908033399</c:v>
                </c:pt>
                <c:pt idx="16">
                  <c:v>-1.4065401804339599</c:v>
                </c:pt>
                <c:pt idx="17">
                  <c:v>-1.4065401804339599</c:v>
                </c:pt>
                <c:pt idx="18">
                  <c:v>-1.4857214264815799</c:v>
                </c:pt>
                <c:pt idx="19">
                  <c:v>-1.70757017609794</c:v>
                </c:pt>
                <c:pt idx="20">
                  <c:v>-1.8836614351536201</c:v>
                </c:pt>
                <c:pt idx="21">
                  <c:v>-2.1846914308176002</c:v>
                </c:pt>
                <c:pt idx="22">
                  <c:v>-2.1846914308176002</c:v>
                </c:pt>
                <c:pt idx="26">
                  <c:v>-0.4346375726218828</c:v>
                </c:pt>
                <c:pt idx="27">
                  <c:v>-0.58357658563394921</c:v>
                </c:pt>
                <c:pt idx="28">
                  <c:v>-0.81205591414931877</c:v>
                </c:pt>
                <c:pt idx="29">
                  <c:v>-1.1990005385198932</c:v>
                </c:pt>
                <c:pt idx="30">
                  <c:v>-1.403120521175818</c:v>
                </c:pt>
                <c:pt idx="31">
                  <c:v>-1.448878011736493</c:v>
                </c:pt>
                <c:pt idx="32">
                  <c:v>-1.5580224811615611</c:v>
                </c:pt>
                <c:pt idx="33">
                  <c:v>-1.8010605298478555</c:v>
                </c:pt>
                <c:pt idx="34">
                  <c:v>-1.8010605298478555</c:v>
                </c:pt>
                <c:pt idx="35">
                  <c:v>-2.1020905255118367</c:v>
                </c:pt>
                <c:pt idx="36">
                  <c:v>-2.403120521175818</c:v>
                </c:pt>
                <c:pt idx="37">
                  <c:v>-2.403120521175818</c:v>
                </c:pt>
                <c:pt idx="38">
                  <c:v>-2.403120521175818</c:v>
                </c:pt>
              </c:numCache>
            </c:numRef>
          </c:yVal>
          <c:smooth val="0"/>
        </c:ser>
        <c:dLbls>
          <c:showLegendKey val="0"/>
          <c:showVal val="0"/>
          <c:showCatName val="0"/>
          <c:showSerName val="0"/>
          <c:showPercent val="0"/>
          <c:showBubbleSize val="0"/>
        </c:dLbls>
        <c:axId val="164170976"/>
        <c:axId val="164171368"/>
      </c:scatterChart>
      <c:valAx>
        <c:axId val="164170976"/>
        <c:scaling>
          <c:orientation val="minMax"/>
        </c:scaling>
        <c:delete val="0"/>
        <c:axPos val="b"/>
        <c:majorGridlines>
          <c:spPr>
            <a:ln w="9521"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1" cap="flat" cmpd="sng" algn="ctr">
            <a:solidFill>
              <a:schemeClr val="tx1">
                <a:lumMod val="25000"/>
                <a:lumOff val="75000"/>
              </a:schemeClr>
            </a:solidFill>
            <a:round/>
          </a:ln>
          <a:effectLst/>
        </c:spPr>
        <c:txPr>
          <a:bodyPr rot="0" vert="horz"/>
          <a:lstStyle/>
          <a:p>
            <a:pPr>
              <a:defRPr sz="900" b="0" i="0" u="none" strike="noStrike" baseline="0">
                <a:solidFill>
                  <a:srgbClr val="595959"/>
                </a:solidFill>
                <a:latin typeface="Calibri"/>
                <a:ea typeface="Calibri"/>
                <a:cs typeface="Calibri"/>
              </a:defRPr>
            </a:pPr>
            <a:endParaRPr lang="es-ES_tradnl"/>
          </a:p>
        </c:txPr>
        <c:crossAx val="164171368"/>
        <c:crosses val="autoZero"/>
        <c:crossBetween val="midCat"/>
      </c:valAx>
      <c:valAx>
        <c:axId val="164171368"/>
        <c:scaling>
          <c:orientation val="minMax"/>
        </c:scaling>
        <c:delete val="0"/>
        <c:axPos val="l"/>
        <c:majorGridlines>
          <c:spPr>
            <a:ln w="9521" cap="flat" cmpd="sng" algn="ctr">
              <a:solidFill>
                <a:schemeClr val="tx1">
                  <a:lumMod val="15000"/>
                  <a:lumOff val="85000"/>
                </a:schemeClr>
              </a:solidFill>
              <a:round/>
            </a:ln>
            <a:effectLst/>
          </c:spPr>
        </c:majorGridlines>
        <c:title>
          <c:tx>
            <c:rich>
              <a:bodyPr/>
              <a:lstStyle/>
              <a:p>
                <a:pPr>
                  <a:defRPr sz="1100" b="0" i="0" u="none" strike="noStrike" baseline="0">
                    <a:solidFill>
                      <a:srgbClr val="000000"/>
                    </a:solidFill>
                    <a:latin typeface="Calibri"/>
                    <a:ea typeface="Calibri"/>
                    <a:cs typeface="Calibri"/>
                  </a:defRPr>
                </a:pPr>
                <a:r>
                  <a:rPr lang="es-ES_tradnl" sz="1100" b="0" i="0" u="none" strike="noStrike" baseline="0">
                    <a:solidFill>
                      <a:srgbClr val="595959"/>
                    </a:solidFill>
                    <a:latin typeface="Calibri"/>
                    <a:cs typeface="Calibri"/>
                  </a:rPr>
                  <a:t>Log</a:t>
                </a:r>
                <a:r>
                  <a:rPr lang="es-ES_tradnl" sz="1100" b="0" i="0" u="none" strike="noStrike" baseline="-25000">
                    <a:solidFill>
                      <a:srgbClr val="595959"/>
                    </a:solidFill>
                    <a:latin typeface="Calibri"/>
                    <a:cs typeface="Calibri"/>
                  </a:rPr>
                  <a:t>10</a:t>
                </a:r>
                <a:r>
                  <a:rPr lang="es-ES_tradnl" sz="1100" b="0" i="0" u="none" strike="noStrike" baseline="0">
                    <a:solidFill>
                      <a:srgbClr val="595959"/>
                    </a:solidFill>
                    <a:latin typeface="Calibri"/>
                    <a:cs typeface="Calibri"/>
                  </a:rPr>
                  <a:t> Pi</a:t>
                </a:r>
              </a:p>
            </c:rich>
          </c:tx>
          <c:layout>
            <c:manualLayout>
              <c:xMode val="edge"/>
              <c:yMode val="edge"/>
              <c:x val="5.2012582396666063E-3"/>
              <c:y val="9.7039079183112179E-2"/>
            </c:manualLayout>
          </c:layout>
          <c:overlay val="0"/>
          <c:spPr>
            <a:noFill/>
            <a:ln w="25389">
              <a:noFill/>
            </a:ln>
          </c:spPr>
        </c:title>
        <c:numFmt formatCode="General" sourceLinked="1"/>
        <c:majorTickMark val="none"/>
        <c:minorTickMark val="none"/>
        <c:tickLblPos val="nextTo"/>
        <c:spPr>
          <a:noFill/>
          <a:ln w="9521"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_tradnl"/>
          </a:p>
        </c:txPr>
        <c:crossAx val="164170976"/>
        <c:crosses val="autoZero"/>
        <c:crossBetween val="midCat"/>
      </c:valAx>
      <c:spPr>
        <a:noFill/>
        <a:ln w="25389">
          <a:noFill/>
        </a:ln>
      </c:spPr>
    </c:plotArea>
    <c:plotVisOnly val="1"/>
    <c:dispBlanksAs val="gap"/>
    <c:showDLblsOverMax val="0"/>
  </c:chart>
  <c:spPr>
    <a:solidFill>
      <a:schemeClr val="bg1"/>
    </a:solidFill>
    <a:ln w="9521" cap="flat" cmpd="sng" algn="ctr">
      <a:solidFill>
        <a:schemeClr val="tx1">
          <a:lumMod val="15000"/>
          <a:lumOff val="85000"/>
        </a:schemeClr>
      </a:solidFill>
      <a:round/>
    </a:ln>
    <a:effectLst/>
  </c:spPr>
  <c:txPr>
    <a:bodyPr/>
    <a:lstStyle/>
    <a:p>
      <a:pPr>
        <a:defRPr/>
      </a:pPr>
      <a:endParaRPr lang="es-ES_tradnl"/>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456301436896659"/>
          <c:y val="0.13838249032430269"/>
          <c:w val="0.83510583210996936"/>
          <c:h val="0.74812699260050119"/>
        </c:manualLayout>
      </c:layout>
      <c:barChart>
        <c:barDir val="col"/>
        <c:grouping val="clustered"/>
        <c:varyColors val="0"/>
        <c:ser>
          <c:idx val="0"/>
          <c:order val="0"/>
          <c:tx>
            <c:strRef>
              <c:f>Hoja1!$B$1</c:f>
              <c:strCache>
                <c:ptCount val="1"/>
                <c:pt idx="0">
                  <c:v>Producción por Parcela (5.25 m²)(kg)</c:v>
                </c:pt>
              </c:strCache>
            </c:strRef>
          </c:tx>
          <c:invertIfNegative val="0"/>
          <c:dLbls>
            <c:dLbl>
              <c:idx val="0"/>
              <c:layout>
                <c:manualLayout>
                  <c:x val="0"/>
                  <c:y val="1.1976047904191612E-2"/>
                </c:manualLayout>
              </c:layout>
              <c:tx>
                <c:rich>
                  <a:bodyPr wrap="square" lIns="38100" tIns="19050" rIns="38100" bIns="19050" anchor="ctr">
                    <a:spAutoFit/>
                  </a:bodyPr>
                  <a:lstStyle/>
                  <a:p>
                    <a:pPr>
                      <a:defRPr/>
                    </a:pPr>
                    <a:r>
                      <a:rPr lang="en-US" sz="1196">
                        <a:latin typeface="Arial" pitchFamily="34" charset="0"/>
                        <a:cs typeface="Arial" pitchFamily="34" charset="0"/>
                      </a:rPr>
                      <a:t>1,03 a</a:t>
                    </a:r>
                  </a:p>
                </c:rich>
              </c:tx>
              <c:spPr>
                <a:noFill/>
                <a:ln w="25326">
                  <a:noFill/>
                </a:ln>
              </c:spPr>
              <c:dLblPos val="outEnd"/>
              <c:showLegendKey val="0"/>
              <c:showVal val="0"/>
              <c:showCatName val="0"/>
              <c:showSerName val="0"/>
              <c:showPercent val="0"/>
              <c:showBubbleSize val="0"/>
              <c:extLst>
                <c:ext xmlns:c15="http://schemas.microsoft.com/office/drawing/2012/chart" uri="{CE6537A1-D6FC-4f65-9D91-7224C49458BB}"/>
              </c:extLst>
            </c:dLbl>
            <c:dLbl>
              <c:idx val="1"/>
              <c:layout>
                <c:manualLayout>
                  <c:x val="0"/>
                  <c:y val="-7.9840319361277438E-3"/>
                </c:manualLayout>
              </c:layout>
              <c:tx>
                <c:rich>
                  <a:bodyPr wrap="square" lIns="38100" tIns="19050" rIns="38100" bIns="19050" anchor="ctr">
                    <a:spAutoFit/>
                  </a:bodyPr>
                  <a:lstStyle/>
                  <a:p>
                    <a:pPr>
                      <a:defRPr/>
                    </a:pPr>
                    <a:r>
                      <a:rPr lang="en-US" sz="1196">
                        <a:latin typeface="Arial" pitchFamily="34" charset="0"/>
                        <a:cs typeface="Arial" pitchFamily="34" charset="0"/>
                      </a:rPr>
                      <a:t>0,96 b</a:t>
                    </a:r>
                  </a:p>
                </c:rich>
              </c:tx>
              <c:spPr>
                <a:noFill/>
                <a:ln w="25326">
                  <a:noFill/>
                </a:ln>
              </c:spPr>
              <c:dLblPos val="outEnd"/>
              <c:showLegendKey val="0"/>
              <c:showVal val="0"/>
              <c:showCatName val="0"/>
              <c:showSerName val="0"/>
              <c:showPercent val="0"/>
              <c:showBubbleSize val="0"/>
              <c:extLst>
                <c:ext xmlns:c15="http://schemas.microsoft.com/office/drawing/2012/chart" uri="{CE6537A1-D6FC-4f65-9D91-7224C49458BB}"/>
              </c:extLst>
            </c:dLbl>
            <c:dLbl>
              <c:idx val="2"/>
              <c:layout>
                <c:manualLayout>
                  <c:x val="4.5433893684688814E-3"/>
                  <c:y val="1.2084592145015118E-2"/>
                </c:manualLayout>
              </c:layout>
              <c:tx>
                <c:rich>
                  <a:bodyPr wrap="square" lIns="38100" tIns="19050" rIns="38100" bIns="19050" anchor="ctr">
                    <a:spAutoFit/>
                  </a:bodyPr>
                  <a:lstStyle/>
                  <a:p>
                    <a:pPr>
                      <a:defRPr/>
                    </a:pPr>
                    <a:r>
                      <a:rPr lang="en-US" sz="1196">
                        <a:latin typeface="Arial" pitchFamily="34" charset="0"/>
                        <a:cs typeface="Arial" pitchFamily="34" charset="0"/>
                      </a:rPr>
                      <a:t>0,62 c</a:t>
                    </a:r>
                  </a:p>
                </c:rich>
              </c:tx>
              <c:spPr>
                <a:noFill/>
                <a:ln w="25326">
                  <a:noFill/>
                </a:ln>
              </c:spPr>
              <c:dLblPos val="outEnd"/>
              <c:showLegendKey val="0"/>
              <c:showVal val="0"/>
              <c:showCatName val="0"/>
              <c:showSerName val="0"/>
              <c:showPercent val="0"/>
              <c:showBubbleSize val="0"/>
              <c:extLst>
                <c:ext xmlns:c15="http://schemas.microsoft.com/office/drawing/2012/chart" uri="{CE6537A1-D6FC-4f65-9D91-7224C49458BB}"/>
              </c:extLst>
            </c:dLbl>
            <c:spPr>
              <a:noFill/>
              <a:ln w="25326">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Hoja1!$A$17:$A$19</c:f>
              <c:strCache>
                <c:ptCount val="3"/>
                <c:pt idx="0">
                  <c:v>Tratamiento 1</c:v>
                </c:pt>
                <c:pt idx="1">
                  <c:v>Tratamiento 2</c:v>
                </c:pt>
                <c:pt idx="2">
                  <c:v>Tratamiento 3</c:v>
                </c:pt>
              </c:strCache>
            </c:strRef>
          </c:cat>
          <c:val>
            <c:numRef>
              <c:f>Hoja1!$B$2:$B$4</c:f>
              <c:numCache>
                <c:formatCode>General</c:formatCode>
                <c:ptCount val="3"/>
                <c:pt idx="0">
                  <c:v>1.03</c:v>
                </c:pt>
                <c:pt idx="1">
                  <c:v>0.96</c:v>
                </c:pt>
                <c:pt idx="2">
                  <c:v>0.62</c:v>
                </c:pt>
              </c:numCache>
            </c:numRef>
          </c:val>
        </c:ser>
        <c:ser>
          <c:idx val="1"/>
          <c:order val="1"/>
          <c:tx>
            <c:strRef>
              <c:f>Hoja1!$C$1</c:f>
              <c:strCache>
                <c:ptCount val="1"/>
                <c:pt idx="0">
                  <c:v>Rdto [kg (m²)¯¹]</c:v>
                </c:pt>
              </c:strCache>
            </c:strRef>
          </c:tx>
          <c:invertIfNegative val="0"/>
          <c:dLbls>
            <c:dLbl>
              <c:idx val="0"/>
              <c:layout>
                <c:manualLayout>
                  <c:x val="6.8150840527033164E-3"/>
                  <c:y val="1.2084592145015045E-2"/>
                </c:manualLayout>
              </c:layout>
              <c:tx>
                <c:rich>
                  <a:bodyPr wrap="square" lIns="38100" tIns="19050" rIns="38100" bIns="19050" anchor="ctr">
                    <a:spAutoFit/>
                  </a:bodyPr>
                  <a:lstStyle/>
                  <a:p>
                    <a:pPr>
                      <a:defRPr/>
                    </a:pPr>
                    <a:r>
                      <a:rPr lang="en-US" sz="1196">
                        <a:latin typeface="Arial" pitchFamily="34" charset="0"/>
                        <a:cs typeface="Arial" pitchFamily="34" charset="0"/>
                      </a:rPr>
                      <a:t>0,2 a</a:t>
                    </a:r>
                  </a:p>
                </c:rich>
              </c:tx>
              <c:spPr>
                <a:noFill/>
                <a:ln w="25326">
                  <a:noFill/>
                </a:ln>
              </c:spPr>
              <c:dLblPos val="outEnd"/>
              <c:showLegendKey val="0"/>
              <c:showVal val="0"/>
              <c:showCatName val="0"/>
              <c:showSerName val="0"/>
              <c:showPercent val="0"/>
              <c:showBubbleSize val="0"/>
              <c:extLst>
                <c:ext xmlns:c15="http://schemas.microsoft.com/office/drawing/2012/chart" uri="{CE6537A1-D6FC-4f65-9D91-7224C49458BB}"/>
              </c:extLst>
            </c:dLbl>
            <c:dLbl>
              <c:idx val="1"/>
              <c:layout>
                <c:manualLayout>
                  <c:x val="6.6615453556110368E-3"/>
                  <c:y val="-1.1976047904191617E-2"/>
                </c:manualLayout>
              </c:layout>
              <c:tx>
                <c:rich>
                  <a:bodyPr wrap="square" lIns="38100" tIns="19050" rIns="38100" bIns="19050" anchor="ctr">
                    <a:spAutoFit/>
                  </a:bodyPr>
                  <a:lstStyle/>
                  <a:p>
                    <a:pPr>
                      <a:defRPr/>
                    </a:pPr>
                    <a:r>
                      <a:rPr lang="en-US" sz="1196">
                        <a:latin typeface="Arial" pitchFamily="34" charset="0"/>
                        <a:cs typeface="Arial" pitchFamily="34" charset="0"/>
                      </a:rPr>
                      <a:t>0,18 b</a:t>
                    </a:r>
                  </a:p>
                </c:rich>
              </c:tx>
              <c:spPr>
                <a:noFill/>
                <a:ln w="25326">
                  <a:noFill/>
                </a:ln>
              </c:spPr>
              <c:dLblPos val="outEnd"/>
              <c:showLegendKey val="0"/>
              <c:showVal val="0"/>
              <c:showCatName val="0"/>
              <c:showSerName val="0"/>
              <c:showPercent val="0"/>
              <c:showBubbleSize val="0"/>
              <c:extLst>
                <c:ext xmlns:c15="http://schemas.microsoft.com/office/drawing/2012/chart" uri="{CE6537A1-D6FC-4f65-9D91-7224C49458BB}"/>
              </c:extLst>
            </c:dLbl>
            <c:dLbl>
              <c:idx val="2"/>
              <c:layout>
                <c:manualLayout>
                  <c:x val="9.0867787369377558E-3"/>
                  <c:y val="1.6112789526686811E-2"/>
                </c:manualLayout>
              </c:layout>
              <c:tx>
                <c:rich>
                  <a:bodyPr wrap="square" lIns="38100" tIns="19050" rIns="38100" bIns="19050" anchor="ctr">
                    <a:spAutoFit/>
                  </a:bodyPr>
                  <a:lstStyle/>
                  <a:p>
                    <a:pPr>
                      <a:defRPr/>
                    </a:pPr>
                    <a:r>
                      <a:rPr lang="en-US" sz="1196">
                        <a:latin typeface="Arial" pitchFamily="34" charset="0"/>
                        <a:cs typeface="Arial" pitchFamily="34" charset="0"/>
                      </a:rPr>
                      <a:t>0,12 c</a:t>
                    </a:r>
                  </a:p>
                </c:rich>
              </c:tx>
              <c:spPr>
                <a:noFill/>
                <a:ln w="25326">
                  <a:noFill/>
                </a:ln>
              </c:spPr>
              <c:dLblPos val="outEnd"/>
              <c:showLegendKey val="0"/>
              <c:showVal val="0"/>
              <c:showCatName val="0"/>
              <c:showSerName val="0"/>
              <c:showPercent val="0"/>
              <c:showBubbleSize val="0"/>
              <c:extLst>
                <c:ext xmlns:c15="http://schemas.microsoft.com/office/drawing/2012/chart" uri="{CE6537A1-D6FC-4f65-9D91-7224C49458BB}"/>
              </c:extLst>
            </c:dLbl>
            <c:spPr>
              <a:noFill/>
              <a:ln w="25326">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Hoja1!$A$17:$A$19</c:f>
              <c:strCache>
                <c:ptCount val="3"/>
                <c:pt idx="0">
                  <c:v>Tratamiento 1</c:v>
                </c:pt>
                <c:pt idx="1">
                  <c:v>Tratamiento 2</c:v>
                </c:pt>
                <c:pt idx="2">
                  <c:v>Tratamiento 3</c:v>
                </c:pt>
              </c:strCache>
            </c:strRef>
          </c:cat>
          <c:val>
            <c:numRef>
              <c:f>Hoja1!$C$2:$C$4</c:f>
              <c:numCache>
                <c:formatCode>General</c:formatCode>
                <c:ptCount val="3"/>
                <c:pt idx="0">
                  <c:v>0.2</c:v>
                </c:pt>
                <c:pt idx="1">
                  <c:v>0.18</c:v>
                </c:pt>
                <c:pt idx="2">
                  <c:v>0.12</c:v>
                </c:pt>
              </c:numCache>
            </c:numRef>
          </c:val>
        </c:ser>
        <c:dLbls>
          <c:showLegendKey val="0"/>
          <c:showVal val="0"/>
          <c:showCatName val="0"/>
          <c:showSerName val="0"/>
          <c:showPercent val="0"/>
          <c:showBubbleSize val="0"/>
        </c:dLbls>
        <c:gapWidth val="150"/>
        <c:axId val="164172152"/>
        <c:axId val="164172544"/>
      </c:barChart>
      <c:catAx>
        <c:axId val="164172152"/>
        <c:scaling>
          <c:orientation val="minMax"/>
        </c:scaling>
        <c:delete val="0"/>
        <c:axPos val="b"/>
        <c:numFmt formatCode="General" sourceLinked="0"/>
        <c:majorTickMark val="out"/>
        <c:minorTickMark val="none"/>
        <c:tickLblPos val="nextTo"/>
        <c:crossAx val="164172544"/>
        <c:crosses val="autoZero"/>
        <c:auto val="1"/>
        <c:lblAlgn val="ctr"/>
        <c:lblOffset val="100"/>
        <c:noMultiLvlLbl val="0"/>
      </c:catAx>
      <c:valAx>
        <c:axId val="164172544"/>
        <c:scaling>
          <c:orientation val="minMax"/>
        </c:scaling>
        <c:delete val="0"/>
        <c:axPos val="l"/>
        <c:majorGridlines>
          <c:spPr>
            <a:ln>
              <a:solidFill>
                <a:schemeClr val="tx1"/>
              </a:solidFill>
            </a:ln>
          </c:spPr>
        </c:majorGridlines>
        <c:title>
          <c:tx>
            <c:rich>
              <a:bodyPr/>
              <a:lstStyle/>
              <a:p>
                <a:pPr>
                  <a:defRPr sz="1098" b="1" i="0" u="none" strike="noStrike" baseline="0">
                    <a:solidFill>
                      <a:srgbClr val="000000"/>
                    </a:solidFill>
                    <a:latin typeface="Times New Roman"/>
                    <a:ea typeface="Times New Roman"/>
                    <a:cs typeface="Times New Roman"/>
                  </a:defRPr>
                </a:pPr>
                <a:r>
                  <a:rPr lang="es-ES_tradnl"/>
                  <a:t>Peso en kg</a:t>
                </a:r>
              </a:p>
            </c:rich>
          </c:tx>
          <c:overlay val="0"/>
        </c:title>
        <c:numFmt formatCode="General" sourceLinked="1"/>
        <c:majorTickMark val="out"/>
        <c:minorTickMark val="none"/>
        <c:tickLblPos val="nextTo"/>
        <c:crossAx val="164172152"/>
        <c:crosses val="autoZero"/>
        <c:crossBetween val="between"/>
      </c:valAx>
      <c:spPr>
        <a:noFill/>
        <a:ln w="25364">
          <a:noFill/>
        </a:ln>
      </c:spPr>
    </c:plotArea>
    <c:legend>
      <c:legendPos val="r"/>
      <c:layout>
        <c:manualLayout>
          <c:xMode val="edge"/>
          <c:yMode val="edge"/>
          <c:x val="9.8027922980215704E-2"/>
          <c:y val="8.4833616903414702E-4"/>
          <c:w val="0.86449158561062223"/>
          <c:h val="7.9787915957741457E-2"/>
        </c:manualLayout>
      </c:layout>
      <c:overlay val="0"/>
    </c:legend>
    <c:plotVisOnly val="1"/>
    <c:dispBlanksAs val="gap"/>
    <c:showDLblsOverMax val="0"/>
  </c:chart>
  <c:spPr>
    <a:ln>
      <a:noFill/>
    </a:ln>
  </c:spPr>
  <c:txPr>
    <a:bodyPr/>
    <a:lstStyle/>
    <a:p>
      <a:pPr>
        <a:defRPr sz="1098">
          <a:latin typeface="Times New Roman" panose="02020603050405020304" pitchFamily="18" charset="0"/>
          <a:cs typeface="Times New Roman" panose="02020603050405020304" pitchFamily="18" charset="0"/>
        </a:defRPr>
      </a:pPr>
      <a:endParaRPr lang="es-ES_tradnl"/>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'Rdto x Tto OK'!$I$2</c:f>
              <c:strCache>
                <c:ptCount val="1"/>
                <c:pt idx="0">
                  <c:v>Rdto ESTIMADO [t ha¯¹]</c:v>
                </c:pt>
              </c:strCache>
            </c:strRef>
          </c:tx>
          <c:spPr>
            <a:solidFill>
              <a:schemeClr val="tx2">
                <a:lumMod val="60000"/>
                <a:lumOff val="40000"/>
              </a:schemeClr>
            </a:solidFill>
            <a:ln>
              <a:noFill/>
            </a:ln>
            <a:effectLst/>
          </c:spPr>
          <c:invertIfNegative val="0"/>
          <c:dLbls>
            <c:dLbl>
              <c:idx val="0"/>
              <c:tx>
                <c:rich>
                  <a:bodyPr/>
                  <a:lstStyle/>
                  <a:p>
                    <a:fld id="{7CB17B8E-4333-4D0C-9FB8-B8EE410172D0}" type="VALUE">
                      <a:rPr lang="en-US"/>
                      <a:pPr/>
                      <a:t>[VALOR]</a:t>
                    </a:fld>
                    <a:r>
                      <a:rPr lang="en-US"/>
                      <a:t> a</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7B4-42B3-AFCF-8F3F575E2851}"/>
                </c:ext>
                <c:ext xmlns:c15="http://schemas.microsoft.com/office/drawing/2012/chart" uri="{CE6537A1-D6FC-4f65-9D91-7224C49458BB}">
                  <c15:dlblFieldTable/>
                  <c15:showDataLabelsRange val="0"/>
                </c:ext>
              </c:extLst>
            </c:dLbl>
            <c:dLbl>
              <c:idx val="1"/>
              <c:tx>
                <c:rich>
                  <a:bodyPr/>
                  <a:lstStyle/>
                  <a:p>
                    <a:fld id="{570AA72D-C883-4FE1-9EA4-86342C3A8B8E}" type="VALUE">
                      <a:rPr lang="en-US"/>
                      <a:pPr/>
                      <a:t>[VALOR]</a:t>
                    </a:fld>
                    <a:r>
                      <a:rPr lang="en-US"/>
                      <a:t> b</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7B4-42B3-AFCF-8F3F575E2851}"/>
                </c:ext>
                <c:ext xmlns:c15="http://schemas.microsoft.com/office/drawing/2012/chart" uri="{CE6537A1-D6FC-4f65-9D91-7224C49458BB}">
                  <c15:dlblFieldTable/>
                  <c15:showDataLabelsRange val="0"/>
                </c:ext>
              </c:extLst>
            </c:dLbl>
            <c:dLbl>
              <c:idx val="2"/>
              <c:tx>
                <c:rich>
                  <a:bodyPr/>
                  <a:lstStyle/>
                  <a:p>
                    <a:fld id="{CEE7DA36-428E-4DF2-B582-104319E91E37}" type="VALUE">
                      <a:rPr lang="en-US"/>
                      <a:pPr/>
                      <a:t>[VALOR]</a:t>
                    </a:fld>
                    <a:r>
                      <a:rPr lang="en-US"/>
                      <a:t> c</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7B4-42B3-AFCF-8F3F575E2851}"/>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'Rdto x Tto OK'!$I$3:$I$5</c:f>
              <c:numCache>
                <c:formatCode>0.00</c:formatCode>
                <c:ptCount val="3"/>
                <c:pt idx="0">
                  <c:v>1.9619047619047618</c:v>
                </c:pt>
                <c:pt idx="1">
                  <c:v>1.8285714285714287</c:v>
                </c:pt>
                <c:pt idx="2">
                  <c:v>1.180952380952381</c:v>
                </c:pt>
              </c:numCache>
            </c:numRef>
          </c:val>
          <c:extLst xmlns:c16r2="http://schemas.microsoft.com/office/drawing/2015/06/chart">
            <c:ext xmlns:c16="http://schemas.microsoft.com/office/drawing/2014/chart" uri="{C3380CC4-5D6E-409C-BE32-E72D297353CC}">
              <c16:uniqueId val="{00000003-47B4-42B3-AFCF-8F3F575E2851}"/>
            </c:ext>
          </c:extLst>
        </c:ser>
        <c:dLbls>
          <c:dLblPos val="outEnd"/>
          <c:showLegendKey val="0"/>
          <c:showVal val="1"/>
          <c:showCatName val="0"/>
          <c:showSerName val="0"/>
          <c:showPercent val="0"/>
          <c:showBubbleSize val="0"/>
        </c:dLbls>
        <c:gapWidth val="219"/>
        <c:overlap val="-27"/>
        <c:axId val="355569448"/>
        <c:axId val="355569840"/>
      </c:barChart>
      <c:catAx>
        <c:axId val="3555694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_tradnl"/>
                  <a:t>Tratamientos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355569840"/>
        <c:crosses val="autoZero"/>
        <c:auto val="1"/>
        <c:lblAlgn val="ctr"/>
        <c:lblOffset val="100"/>
        <c:noMultiLvlLbl val="0"/>
      </c:catAx>
      <c:valAx>
        <c:axId val="355569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Rdto ESTIMADO [t ha¯¹]</a:t>
                </a:r>
                <a:endParaRPr lang="es-ES_tradnl"/>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355569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S_tradnl"/>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0.01526</cdr:x>
      <cdr:y>0.13114</cdr:y>
    </cdr:from>
    <cdr:to>
      <cdr:x>0.03687</cdr:x>
      <cdr:y>0.22845</cdr:y>
    </cdr:to>
    <cdr:sp macro="" textlink="">
      <cdr:nvSpPr>
        <cdr:cNvPr id="2" name="CuadroTexto 1"/>
        <cdr:cNvSpPr txBox="1"/>
      </cdr:nvSpPr>
      <cdr:spPr>
        <a:xfrm xmlns:a="http://schemas.openxmlformats.org/drawingml/2006/main">
          <a:off x="100965" y="539115"/>
          <a:ext cx="142875" cy="4000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_tradnl"/>
        </a:p>
      </cdr:txBody>
    </cdr:sp>
  </cdr:relSizeAnchor>
  <cdr:relSizeAnchor xmlns:cdr="http://schemas.openxmlformats.org/drawingml/2006/chartDrawing">
    <cdr:from>
      <cdr:x>0.16647</cdr:x>
      <cdr:y>0.75904</cdr:y>
    </cdr:from>
    <cdr:to>
      <cdr:x>0.29752</cdr:x>
      <cdr:y>0.8355</cdr:y>
    </cdr:to>
    <cdr:sp macro="" textlink="">
      <cdr:nvSpPr>
        <cdr:cNvPr id="3" name="CuadroTexto 2"/>
        <cdr:cNvSpPr txBox="1"/>
      </cdr:nvSpPr>
      <cdr:spPr>
        <a:xfrm xmlns:a="http://schemas.openxmlformats.org/drawingml/2006/main">
          <a:off x="1101090" y="3120390"/>
          <a:ext cx="866775" cy="3143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ES_tradnl"/>
        </a:p>
      </cdr:txBody>
    </cdr:sp>
  </cdr:relSizeAnchor>
  <cdr:relSizeAnchor xmlns:cdr="http://schemas.openxmlformats.org/drawingml/2006/chartDrawing">
    <cdr:from>
      <cdr:x>0.41535</cdr:x>
      <cdr:y>0.76636</cdr:y>
    </cdr:from>
    <cdr:to>
      <cdr:x>0.56944</cdr:x>
      <cdr:y>0.83123</cdr:y>
    </cdr:to>
    <cdr:sp macro="" textlink="">
      <cdr:nvSpPr>
        <cdr:cNvPr id="4" name="CuadroTexto 3"/>
        <cdr:cNvSpPr txBox="1"/>
      </cdr:nvSpPr>
      <cdr:spPr>
        <a:xfrm xmlns:a="http://schemas.openxmlformats.org/drawingml/2006/main">
          <a:off x="2630643" y="3009844"/>
          <a:ext cx="975927" cy="2547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_tradnl" sz="1100">
              <a:latin typeface="Times New Roman" panose="02020603050405020304" pitchFamily="18" charset="0"/>
              <a:cs typeface="Times New Roman" panose="02020603050405020304" pitchFamily="18" charset="0"/>
            </a:rPr>
            <a:t>Tratamiento 2</a:t>
          </a:r>
        </a:p>
      </cdr:txBody>
    </cdr:sp>
  </cdr:relSizeAnchor>
  <cdr:relSizeAnchor xmlns:cdr="http://schemas.openxmlformats.org/drawingml/2006/chartDrawing">
    <cdr:from>
      <cdr:x>0.11908</cdr:x>
      <cdr:y>0.7711</cdr:y>
    </cdr:from>
    <cdr:to>
      <cdr:x>0.28757</cdr:x>
      <cdr:y>0.82902</cdr:y>
    </cdr:to>
    <cdr:sp macro="" textlink="">
      <cdr:nvSpPr>
        <cdr:cNvPr id="5" name="CuadroTexto 4"/>
        <cdr:cNvSpPr txBox="1"/>
      </cdr:nvSpPr>
      <cdr:spPr>
        <a:xfrm xmlns:a="http://schemas.openxmlformats.org/drawingml/2006/main">
          <a:off x="754178" y="3028481"/>
          <a:ext cx="1067130" cy="22747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_tradnl" sz="1100">
              <a:latin typeface="Times New Roman" panose="02020603050405020304" pitchFamily="18" charset="0"/>
              <a:cs typeface="Times New Roman" panose="02020603050405020304" pitchFamily="18" charset="0"/>
            </a:rPr>
            <a:t>Tratamiento 1</a:t>
          </a:r>
        </a:p>
      </cdr:txBody>
    </cdr:sp>
  </cdr:relSizeAnchor>
  <cdr:relSizeAnchor xmlns:cdr="http://schemas.openxmlformats.org/drawingml/2006/chartDrawing">
    <cdr:from>
      <cdr:x>0.71784</cdr:x>
      <cdr:y>0.76868</cdr:y>
    </cdr:from>
    <cdr:to>
      <cdr:x>0.88489</cdr:x>
      <cdr:y>0.83819</cdr:y>
    </cdr:to>
    <cdr:sp macro="" textlink="">
      <cdr:nvSpPr>
        <cdr:cNvPr id="6" name="CuadroTexto 5"/>
        <cdr:cNvSpPr txBox="1"/>
      </cdr:nvSpPr>
      <cdr:spPr>
        <a:xfrm xmlns:a="http://schemas.openxmlformats.org/drawingml/2006/main">
          <a:off x="4546422" y="3018956"/>
          <a:ext cx="1058009" cy="27299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S_tradnl" sz="1100">
              <a:latin typeface="Times New Roman" panose="02020603050405020304" pitchFamily="18" charset="0"/>
              <a:cs typeface="Times New Roman" panose="02020603050405020304" pitchFamily="18" charset="0"/>
            </a:rPr>
            <a:t>Tratamiento 3</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225</TotalTime>
  <Pages>14</Pages>
  <Words>4159</Words>
  <Characters>22879</Characters>
  <Application>Microsoft Office Word</Application>
  <DocSecurity>0</DocSecurity>
  <Lines>190</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TeX</cp:lastModifiedBy>
  <cp:revision>17</cp:revision>
  <dcterms:created xsi:type="dcterms:W3CDTF">2018-11-01T22:25:00Z</dcterms:created>
  <dcterms:modified xsi:type="dcterms:W3CDTF">2019-04-08T14:02:00Z</dcterms:modified>
</cp:coreProperties>
</file>