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0622" w:rsidRPr="00FB7AB6" w:rsidRDefault="00FB7AB6" w:rsidP="00A10622">
      <w:pPr>
        <w:pStyle w:val="Default"/>
        <w:jc w:val="center"/>
        <w:rPr>
          <w:rFonts w:ascii="Times New Roman" w:hAnsi="Times New Roman" w:cs="Times New Roman"/>
          <w:sz w:val="28"/>
          <w:szCs w:val="28"/>
        </w:rPr>
      </w:pPr>
      <w:r w:rsidRPr="00FB7AB6">
        <w:rPr>
          <w:rFonts w:ascii="Times New Roman" w:hAnsi="Times New Roman" w:cs="Times New Roman"/>
          <w:b/>
          <w:bCs/>
          <w:sz w:val="28"/>
          <w:szCs w:val="28"/>
        </w:rPr>
        <w:t>IX SIMPOSIO DE AGRONOMÍA</w:t>
      </w:r>
      <w:r w:rsidR="00A10622" w:rsidRPr="00FB7AB6">
        <w:rPr>
          <w:rFonts w:ascii="Times New Roman" w:hAnsi="Times New Roman" w:cs="Times New Roman"/>
          <w:b/>
          <w:bCs/>
          <w:sz w:val="28"/>
          <w:szCs w:val="28"/>
        </w:rPr>
        <w:t xml:space="preserve"> </w:t>
      </w:r>
    </w:p>
    <w:p w:rsidR="00EE58E9" w:rsidRPr="00FB7AB6" w:rsidRDefault="00EE58E9" w:rsidP="00667F10">
      <w:pPr>
        <w:spacing w:after="0"/>
        <w:jc w:val="center"/>
        <w:rPr>
          <w:rFonts w:ascii="Times New Roman" w:hAnsi="Times New Roman" w:cs="Times New Roman"/>
          <w:sz w:val="24"/>
          <w:szCs w:val="24"/>
        </w:rPr>
      </w:pPr>
    </w:p>
    <w:p w:rsidR="00FB7AB6" w:rsidRPr="00EC6015" w:rsidRDefault="00FB7AB6" w:rsidP="00FB7AB6">
      <w:pPr>
        <w:spacing w:after="0" w:line="240" w:lineRule="auto"/>
        <w:jc w:val="center"/>
        <w:outlineLvl w:val="1"/>
        <w:rPr>
          <w:rFonts w:ascii="Times New Roman" w:hAnsi="Times New Roman" w:cs="Times New Roman"/>
          <w:b/>
          <w:bCs/>
          <w:color w:val="000000"/>
          <w:sz w:val="28"/>
          <w:szCs w:val="28"/>
        </w:rPr>
      </w:pPr>
      <w:r w:rsidRPr="00EC6015">
        <w:rPr>
          <w:rFonts w:ascii="Times New Roman" w:hAnsi="Times New Roman" w:cs="Times New Roman"/>
          <w:b/>
          <w:bCs/>
          <w:color w:val="000000"/>
          <w:sz w:val="28"/>
          <w:szCs w:val="28"/>
        </w:rPr>
        <w:t>IX CONFERENCIA CIENTÍ</w:t>
      </w:r>
      <w:r>
        <w:rPr>
          <w:rFonts w:ascii="Times New Roman" w:hAnsi="Times New Roman" w:cs="Times New Roman"/>
          <w:b/>
          <w:bCs/>
          <w:color w:val="000000"/>
          <w:sz w:val="28"/>
          <w:szCs w:val="28"/>
        </w:rPr>
        <w:t>FI</w:t>
      </w:r>
      <w:r w:rsidRPr="00EC6015">
        <w:rPr>
          <w:rFonts w:ascii="Times New Roman" w:hAnsi="Times New Roman" w:cs="Times New Roman"/>
          <w:b/>
          <w:bCs/>
          <w:color w:val="000000"/>
          <w:sz w:val="28"/>
          <w:szCs w:val="28"/>
        </w:rPr>
        <w:t>CA INTERNACIONAL DESARROLLO AGROPECUARIO Y SOSTENIBILIDAD</w:t>
      </w:r>
    </w:p>
    <w:p w:rsidR="00FB7AB6" w:rsidRDefault="00FB7AB6" w:rsidP="00FB7AB6">
      <w:pPr>
        <w:pStyle w:val="Default"/>
        <w:jc w:val="center"/>
        <w:rPr>
          <w:rFonts w:ascii="Times New Roman" w:hAnsi="Times New Roman" w:cs="Times New Roman"/>
          <w:b/>
          <w:bCs/>
          <w:sz w:val="28"/>
          <w:szCs w:val="28"/>
          <w:lang w:val="en-US"/>
        </w:rPr>
      </w:pPr>
      <w:r w:rsidRPr="00FB7AB6">
        <w:rPr>
          <w:rFonts w:ascii="Times New Roman" w:hAnsi="Times New Roman" w:cs="Times New Roman"/>
          <w:b/>
          <w:bCs/>
          <w:sz w:val="28"/>
          <w:szCs w:val="28"/>
          <w:lang w:val="en-US"/>
        </w:rPr>
        <w:t>AGROCENTRO 2019</w:t>
      </w:r>
    </w:p>
    <w:p w:rsidR="00FB7AB6" w:rsidRDefault="00FB7AB6" w:rsidP="00FB7AB6">
      <w:pPr>
        <w:suppressAutoHyphens/>
        <w:spacing w:before="120" w:after="120" w:line="360" w:lineRule="auto"/>
        <w:ind w:left="142"/>
        <w:jc w:val="center"/>
        <w:rPr>
          <w:rFonts w:ascii="Times New Roman" w:eastAsia="Times New Roman" w:hAnsi="Times New Roman" w:cs="Times New Roman"/>
          <w:b/>
          <w:sz w:val="28"/>
          <w:szCs w:val="28"/>
        </w:rPr>
      </w:pPr>
      <w:r w:rsidRPr="00FB7AB6">
        <w:rPr>
          <w:rFonts w:ascii="Times New Roman" w:eastAsia="Times New Roman" w:hAnsi="Times New Roman" w:cs="Times New Roman"/>
          <w:b/>
          <w:sz w:val="28"/>
          <w:szCs w:val="28"/>
        </w:rPr>
        <w:t>Influencia de marcos de plantación en el cultivar de Caña de Azúcar C-90-469</w:t>
      </w:r>
    </w:p>
    <w:p w:rsidR="00187A8B" w:rsidRPr="00C67776" w:rsidRDefault="00C67776" w:rsidP="00FB7AB6">
      <w:pPr>
        <w:suppressAutoHyphens/>
        <w:spacing w:before="120" w:after="120" w:line="360" w:lineRule="auto"/>
        <w:ind w:left="142"/>
        <w:jc w:val="center"/>
        <w:rPr>
          <w:rFonts w:ascii="Times New Roman" w:eastAsia="Times New Roman" w:hAnsi="Times New Roman" w:cs="Times New Roman"/>
          <w:b/>
          <w:i/>
          <w:sz w:val="28"/>
          <w:szCs w:val="28"/>
          <w:lang w:val="en-US"/>
        </w:rPr>
      </w:pPr>
      <w:r w:rsidRPr="00C67776">
        <w:rPr>
          <w:rFonts w:ascii="Times New Roman" w:eastAsia="Times New Roman" w:hAnsi="Times New Roman" w:cs="Times New Roman"/>
          <w:b/>
          <w:i/>
          <w:sz w:val="28"/>
          <w:szCs w:val="28"/>
          <w:lang w:val="en-US"/>
        </w:rPr>
        <w:t>The i</w:t>
      </w:r>
      <w:r w:rsidR="00187A8B" w:rsidRPr="00C67776">
        <w:rPr>
          <w:rFonts w:ascii="Times New Roman" w:eastAsia="Times New Roman" w:hAnsi="Times New Roman" w:cs="Times New Roman"/>
          <w:b/>
          <w:i/>
          <w:sz w:val="28"/>
          <w:szCs w:val="28"/>
          <w:lang w:val="en-US"/>
        </w:rPr>
        <w:t>nfluence of planting distance on sugar cane cultivar C-90-469</w:t>
      </w:r>
    </w:p>
    <w:p w:rsidR="00A10622" w:rsidRPr="00584E8B" w:rsidRDefault="009C254F" w:rsidP="00A10622">
      <w:pPr>
        <w:spacing w:line="240" w:lineRule="auto"/>
        <w:jc w:val="both"/>
        <w:rPr>
          <w:rFonts w:ascii="Arial" w:hAnsi="Arial" w:cs="Arial"/>
          <w:b/>
          <w:sz w:val="24"/>
          <w:szCs w:val="24"/>
        </w:rPr>
      </w:pPr>
      <w:r w:rsidRPr="009C254F">
        <w:rPr>
          <w:rFonts w:ascii="Times New Roman" w:hAnsi="Times New Roman" w:cs="Times New Roman"/>
          <w:b/>
          <w:sz w:val="24"/>
          <w:szCs w:val="24"/>
        </w:rPr>
        <w:t>Isbel Rodríguez Seijo</w:t>
      </w:r>
      <w:r w:rsidRPr="00A52FDD">
        <w:rPr>
          <w:rFonts w:ascii="Times New Roman" w:hAnsi="Times New Roman" w:cs="Times New Roman"/>
          <w:b/>
          <w:sz w:val="24"/>
          <w:szCs w:val="24"/>
          <w:vertAlign w:val="superscript"/>
        </w:rPr>
        <w:t>1</w:t>
      </w:r>
      <w:r w:rsidRPr="009C254F">
        <w:rPr>
          <w:rFonts w:ascii="Times New Roman" w:hAnsi="Times New Roman" w:cs="Times New Roman"/>
          <w:b/>
          <w:sz w:val="24"/>
          <w:szCs w:val="24"/>
        </w:rPr>
        <w:t xml:space="preserve">, </w:t>
      </w:r>
      <w:proofErr w:type="spellStart"/>
      <w:r w:rsidRPr="009C254F">
        <w:rPr>
          <w:rFonts w:ascii="Times New Roman" w:hAnsi="Times New Roman" w:cs="Times New Roman"/>
          <w:b/>
          <w:sz w:val="24"/>
          <w:szCs w:val="24"/>
        </w:rPr>
        <w:t>Lisania</w:t>
      </w:r>
      <w:proofErr w:type="spellEnd"/>
      <w:r w:rsidRPr="009C254F">
        <w:rPr>
          <w:rFonts w:ascii="Times New Roman" w:hAnsi="Times New Roman" w:cs="Times New Roman"/>
          <w:b/>
          <w:sz w:val="24"/>
          <w:szCs w:val="24"/>
        </w:rPr>
        <w:t xml:space="preserve"> Rojas Villareal</w:t>
      </w:r>
      <w:r>
        <w:rPr>
          <w:rFonts w:ascii="Times New Roman" w:hAnsi="Times New Roman" w:cs="Times New Roman"/>
          <w:b/>
          <w:sz w:val="24"/>
          <w:szCs w:val="24"/>
        </w:rPr>
        <w:t>1</w:t>
      </w:r>
      <w:r w:rsidRPr="009C254F">
        <w:rPr>
          <w:rFonts w:ascii="Times New Roman" w:hAnsi="Times New Roman" w:cs="Times New Roman"/>
          <w:b/>
          <w:sz w:val="24"/>
          <w:szCs w:val="24"/>
        </w:rPr>
        <w:t xml:space="preserve">, </w:t>
      </w:r>
      <w:proofErr w:type="spellStart"/>
      <w:r w:rsidRPr="009C254F">
        <w:rPr>
          <w:rFonts w:ascii="Times New Roman" w:hAnsi="Times New Roman" w:cs="Times New Roman"/>
          <w:b/>
          <w:sz w:val="24"/>
          <w:szCs w:val="24"/>
        </w:rPr>
        <w:t>Osmany</w:t>
      </w:r>
      <w:proofErr w:type="spellEnd"/>
      <w:r w:rsidRPr="009C254F">
        <w:rPr>
          <w:rFonts w:ascii="Times New Roman" w:hAnsi="Times New Roman" w:cs="Times New Roman"/>
          <w:b/>
          <w:sz w:val="24"/>
          <w:szCs w:val="24"/>
        </w:rPr>
        <w:t xml:space="preserve"> de la Caridad</w:t>
      </w:r>
      <w:r w:rsidRPr="00584E8B">
        <w:rPr>
          <w:rFonts w:ascii="Times New Roman" w:hAnsi="Times New Roman" w:cs="Times New Roman"/>
          <w:b/>
          <w:sz w:val="24"/>
          <w:szCs w:val="24"/>
        </w:rPr>
        <w:t xml:space="preserve"> </w:t>
      </w:r>
      <w:r w:rsidRPr="009C254F">
        <w:rPr>
          <w:rFonts w:ascii="Times New Roman" w:hAnsi="Times New Roman" w:cs="Times New Roman"/>
          <w:b/>
          <w:sz w:val="24"/>
          <w:szCs w:val="24"/>
        </w:rPr>
        <w:t>Aday Díaz</w:t>
      </w:r>
      <w:r w:rsidR="00A52FDD" w:rsidRPr="00A52FDD">
        <w:rPr>
          <w:rFonts w:ascii="Times New Roman" w:hAnsi="Times New Roman" w:cs="Times New Roman"/>
          <w:b/>
          <w:sz w:val="24"/>
          <w:szCs w:val="24"/>
          <w:vertAlign w:val="superscript"/>
        </w:rPr>
        <w:t>2</w:t>
      </w:r>
      <w:r w:rsidRPr="009C254F">
        <w:rPr>
          <w:rFonts w:ascii="Times New Roman" w:hAnsi="Times New Roman" w:cs="Times New Roman"/>
          <w:b/>
          <w:sz w:val="24"/>
          <w:szCs w:val="24"/>
        </w:rPr>
        <w:t>, Pedro Martínez Campos</w:t>
      </w:r>
      <w:r w:rsidR="00A52FDD" w:rsidRPr="00A52FDD">
        <w:rPr>
          <w:rFonts w:ascii="Times New Roman" w:hAnsi="Times New Roman" w:cs="Times New Roman"/>
          <w:b/>
          <w:sz w:val="24"/>
          <w:szCs w:val="24"/>
          <w:vertAlign w:val="superscript"/>
        </w:rPr>
        <w:t>1</w:t>
      </w:r>
      <w:r w:rsidRPr="009C254F">
        <w:rPr>
          <w:rFonts w:ascii="Times New Roman" w:hAnsi="Times New Roman" w:cs="Times New Roman"/>
          <w:b/>
          <w:sz w:val="24"/>
          <w:szCs w:val="24"/>
        </w:rPr>
        <w:t>, Ubaldo Álvarez Hernández</w:t>
      </w:r>
      <w:r w:rsidR="00A52FDD" w:rsidRPr="00A52FDD">
        <w:rPr>
          <w:rFonts w:ascii="Times New Roman" w:hAnsi="Times New Roman" w:cs="Times New Roman"/>
          <w:b/>
          <w:sz w:val="24"/>
          <w:szCs w:val="24"/>
          <w:vertAlign w:val="superscript"/>
        </w:rPr>
        <w:t>1</w:t>
      </w:r>
    </w:p>
    <w:p w:rsidR="00C67776" w:rsidRPr="00296A50" w:rsidRDefault="00296A50" w:rsidP="006240D6">
      <w:pPr>
        <w:spacing w:after="0"/>
        <w:ind w:left="284" w:hanging="284"/>
        <w:jc w:val="both"/>
        <w:rPr>
          <w:rFonts w:ascii="Times New Roman" w:hAnsi="Times New Roman" w:cs="Times New Roman"/>
          <w:sz w:val="24"/>
          <w:szCs w:val="24"/>
        </w:rPr>
      </w:pPr>
      <w:r w:rsidRPr="00A52FDD">
        <w:rPr>
          <w:rFonts w:ascii="Times New Roman" w:hAnsi="Times New Roman" w:cs="Times New Roman"/>
          <w:sz w:val="24"/>
          <w:szCs w:val="24"/>
          <w:vertAlign w:val="superscript"/>
        </w:rPr>
        <w:t>1</w:t>
      </w:r>
      <w:r w:rsidR="00A52FDD">
        <w:rPr>
          <w:rFonts w:ascii="Times New Roman" w:hAnsi="Times New Roman" w:cs="Times New Roman"/>
          <w:sz w:val="24"/>
          <w:szCs w:val="24"/>
        </w:rPr>
        <w:t xml:space="preserve"> </w:t>
      </w:r>
      <w:r w:rsidRPr="00296A50">
        <w:rPr>
          <w:rFonts w:ascii="Times New Roman" w:hAnsi="Times New Roman" w:cs="Times New Roman"/>
          <w:sz w:val="24"/>
          <w:szCs w:val="24"/>
        </w:rPr>
        <w:t xml:space="preserve">Rodríguez Seijo, Isbel. Facultad de Ciencias Agropecuarias, Departamento de Agronomía. Cuba. E-mail: </w:t>
      </w:r>
      <w:hyperlink r:id="rId7" w:history="1">
        <w:r w:rsidRPr="00296A50">
          <w:rPr>
            <w:rStyle w:val="Hipervnculo"/>
            <w:rFonts w:ascii="Times New Roman" w:hAnsi="Times New Roman" w:cs="Times New Roman"/>
            <w:sz w:val="24"/>
            <w:szCs w:val="24"/>
          </w:rPr>
          <w:t>isbelrs@uclv.cu</w:t>
        </w:r>
      </w:hyperlink>
      <w:r w:rsidR="00C67776" w:rsidRPr="00296A50">
        <w:rPr>
          <w:rFonts w:ascii="Times New Roman" w:hAnsi="Times New Roman" w:cs="Times New Roman"/>
          <w:sz w:val="24"/>
          <w:szCs w:val="24"/>
        </w:rPr>
        <w:t xml:space="preserve"> </w:t>
      </w:r>
    </w:p>
    <w:p w:rsidR="00C67776" w:rsidRPr="00296A50" w:rsidRDefault="00A52FDD" w:rsidP="006240D6">
      <w:pPr>
        <w:spacing w:after="0"/>
        <w:ind w:left="284" w:hanging="284"/>
        <w:jc w:val="both"/>
        <w:rPr>
          <w:rFonts w:ascii="Times New Roman" w:hAnsi="Times New Roman" w:cs="Times New Roman"/>
          <w:sz w:val="24"/>
          <w:szCs w:val="24"/>
          <w:vertAlign w:val="superscript"/>
        </w:rPr>
      </w:pPr>
      <w:r w:rsidRPr="00A52FDD">
        <w:rPr>
          <w:rFonts w:ascii="Times New Roman" w:hAnsi="Times New Roman" w:cs="Times New Roman"/>
          <w:sz w:val="24"/>
          <w:szCs w:val="24"/>
          <w:vertAlign w:val="superscript"/>
        </w:rPr>
        <w:t>1</w:t>
      </w:r>
      <w:r>
        <w:rPr>
          <w:rFonts w:ascii="Times New Roman" w:hAnsi="Times New Roman" w:cs="Times New Roman"/>
          <w:sz w:val="24"/>
          <w:szCs w:val="24"/>
        </w:rPr>
        <w:t xml:space="preserve"> </w:t>
      </w:r>
      <w:r w:rsidR="00C67776" w:rsidRPr="00296A50">
        <w:rPr>
          <w:rFonts w:ascii="Times New Roman" w:hAnsi="Times New Roman" w:cs="Times New Roman"/>
          <w:sz w:val="24"/>
          <w:szCs w:val="24"/>
        </w:rPr>
        <w:t xml:space="preserve">Rojas Villareal, </w:t>
      </w:r>
      <w:proofErr w:type="spellStart"/>
      <w:r w:rsidR="00C67776" w:rsidRPr="00296A50">
        <w:rPr>
          <w:rFonts w:ascii="Times New Roman" w:hAnsi="Times New Roman" w:cs="Times New Roman"/>
          <w:sz w:val="24"/>
          <w:szCs w:val="24"/>
        </w:rPr>
        <w:t>Lisania</w:t>
      </w:r>
      <w:proofErr w:type="spellEnd"/>
      <w:r w:rsidR="00296A50" w:rsidRPr="00296A50">
        <w:rPr>
          <w:rFonts w:ascii="Times New Roman" w:hAnsi="Times New Roman" w:cs="Times New Roman"/>
          <w:sz w:val="24"/>
          <w:szCs w:val="24"/>
        </w:rPr>
        <w:t xml:space="preserve"> Facultad de Ciencias Agropecuarias, Departamento de Agronomía. Cuba. </w:t>
      </w:r>
    </w:p>
    <w:p w:rsidR="00C67776" w:rsidRPr="00296A50" w:rsidRDefault="00A52FDD" w:rsidP="006240D6">
      <w:pPr>
        <w:spacing w:after="0"/>
        <w:ind w:left="284" w:hanging="284"/>
        <w:jc w:val="both"/>
        <w:rPr>
          <w:rFonts w:ascii="Times New Roman" w:hAnsi="Times New Roman" w:cs="Times New Roman"/>
          <w:sz w:val="24"/>
          <w:szCs w:val="24"/>
          <w:vertAlign w:val="superscript"/>
        </w:rPr>
      </w:pPr>
      <w:r w:rsidRPr="00A52FDD">
        <w:rPr>
          <w:rFonts w:ascii="Times New Roman" w:hAnsi="Times New Roman" w:cs="Times New Roman"/>
          <w:sz w:val="24"/>
          <w:szCs w:val="24"/>
          <w:vertAlign w:val="superscript"/>
        </w:rPr>
        <w:t>2</w:t>
      </w:r>
      <w:r>
        <w:rPr>
          <w:rFonts w:ascii="Times New Roman" w:hAnsi="Times New Roman" w:cs="Times New Roman"/>
          <w:sz w:val="24"/>
          <w:szCs w:val="24"/>
        </w:rPr>
        <w:t xml:space="preserve"> </w:t>
      </w:r>
      <w:r w:rsidR="006240D6">
        <w:rPr>
          <w:rFonts w:ascii="Times New Roman" w:hAnsi="Times New Roman" w:cs="Times New Roman"/>
          <w:sz w:val="24"/>
          <w:szCs w:val="24"/>
        </w:rPr>
        <w:t xml:space="preserve"> </w:t>
      </w:r>
      <w:r w:rsidR="00C67776" w:rsidRPr="00296A50">
        <w:rPr>
          <w:rFonts w:ascii="Times New Roman" w:hAnsi="Times New Roman" w:cs="Times New Roman"/>
          <w:sz w:val="24"/>
          <w:szCs w:val="24"/>
        </w:rPr>
        <w:t>Aday Díaz, Osmany de la Caridad</w:t>
      </w:r>
      <w:r w:rsidR="00296A50" w:rsidRPr="00296A50">
        <w:rPr>
          <w:rFonts w:ascii="Times New Roman" w:hAnsi="Times New Roman" w:cs="Times New Roman"/>
          <w:sz w:val="24"/>
          <w:szCs w:val="24"/>
        </w:rPr>
        <w:t>. ETICA Centro Villa Clara, INICA</w:t>
      </w:r>
    </w:p>
    <w:p w:rsidR="00C67776" w:rsidRPr="00296A50" w:rsidRDefault="00A52FDD" w:rsidP="006240D6">
      <w:pPr>
        <w:spacing w:after="0"/>
        <w:ind w:left="284" w:hanging="284"/>
        <w:jc w:val="both"/>
        <w:rPr>
          <w:rFonts w:ascii="Times New Roman" w:hAnsi="Times New Roman" w:cs="Times New Roman"/>
          <w:sz w:val="24"/>
          <w:szCs w:val="24"/>
          <w:vertAlign w:val="superscript"/>
        </w:rPr>
      </w:pPr>
      <w:r w:rsidRPr="00A52FDD">
        <w:rPr>
          <w:rFonts w:ascii="Times New Roman" w:hAnsi="Times New Roman" w:cs="Times New Roman"/>
          <w:sz w:val="24"/>
          <w:szCs w:val="24"/>
          <w:vertAlign w:val="superscript"/>
        </w:rPr>
        <w:t>1</w:t>
      </w:r>
      <w:r>
        <w:rPr>
          <w:rFonts w:ascii="Times New Roman" w:hAnsi="Times New Roman" w:cs="Times New Roman"/>
          <w:sz w:val="24"/>
          <w:szCs w:val="24"/>
        </w:rPr>
        <w:t xml:space="preserve"> </w:t>
      </w:r>
      <w:r w:rsidR="00C67776" w:rsidRPr="00296A50">
        <w:rPr>
          <w:rFonts w:ascii="Times New Roman" w:hAnsi="Times New Roman" w:cs="Times New Roman"/>
          <w:sz w:val="24"/>
          <w:szCs w:val="24"/>
        </w:rPr>
        <w:t>Martínez Campos,</w:t>
      </w:r>
      <w:r w:rsidR="00296A50" w:rsidRPr="00296A50">
        <w:rPr>
          <w:rFonts w:ascii="Times New Roman" w:hAnsi="Times New Roman" w:cs="Times New Roman"/>
          <w:sz w:val="24"/>
          <w:szCs w:val="24"/>
        </w:rPr>
        <w:t xml:space="preserve"> Pedro. Facultad de Ciencias Agropecuarias, Departamento de Agronomía. Cuba. E-mail: </w:t>
      </w:r>
      <w:hyperlink r:id="rId8" w:history="1">
        <w:r w:rsidR="00296A50" w:rsidRPr="00296A50">
          <w:rPr>
            <w:rStyle w:val="Hipervnculo"/>
            <w:rFonts w:ascii="Times New Roman" w:hAnsi="Times New Roman" w:cs="Times New Roman"/>
            <w:sz w:val="24"/>
            <w:szCs w:val="24"/>
          </w:rPr>
          <w:t>pedromc@uclv.cu</w:t>
        </w:r>
      </w:hyperlink>
    </w:p>
    <w:p w:rsidR="00C67776" w:rsidRPr="00296A50" w:rsidRDefault="00A52FDD" w:rsidP="006240D6">
      <w:pPr>
        <w:spacing w:after="0"/>
        <w:ind w:left="284" w:hanging="284"/>
        <w:jc w:val="both"/>
        <w:rPr>
          <w:rStyle w:val="hps"/>
          <w:rFonts w:ascii="Times New Roman" w:hAnsi="Times New Roman" w:cs="Times New Roman"/>
          <w:sz w:val="24"/>
          <w:szCs w:val="24"/>
        </w:rPr>
      </w:pPr>
      <w:r w:rsidRPr="00A52FDD">
        <w:rPr>
          <w:rFonts w:ascii="Times New Roman" w:hAnsi="Times New Roman" w:cs="Times New Roman"/>
          <w:sz w:val="24"/>
          <w:szCs w:val="24"/>
          <w:vertAlign w:val="superscript"/>
        </w:rPr>
        <w:t>1</w:t>
      </w:r>
      <w:r>
        <w:rPr>
          <w:rFonts w:ascii="Times New Roman" w:hAnsi="Times New Roman" w:cs="Times New Roman"/>
          <w:sz w:val="24"/>
          <w:szCs w:val="24"/>
        </w:rPr>
        <w:t xml:space="preserve"> </w:t>
      </w:r>
      <w:r w:rsidR="00C67776" w:rsidRPr="00296A50">
        <w:rPr>
          <w:rFonts w:ascii="Times New Roman" w:hAnsi="Times New Roman" w:cs="Times New Roman"/>
          <w:sz w:val="24"/>
          <w:szCs w:val="24"/>
        </w:rPr>
        <w:t>Álvarez Hernández, Ubaldo</w:t>
      </w:r>
      <w:r w:rsidR="00296A50" w:rsidRPr="00296A50">
        <w:rPr>
          <w:rFonts w:ascii="Times New Roman" w:hAnsi="Times New Roman" w:cs="Times New Roman"/>
          <w:sz w:val="24"/>
          <w:szCs w:val="24"/>
        </w:rPr>
        <w:t xml:space="preserve"> Facultad de Ciencias Agropecuarias, Departamento de Agronomía. Cuba. E-mail: </w:t>
      </w:r>
      <w:hyperlink r:id="rId9" w:history="1">
        <w:r w:rsidR="00296A50" w:rsidRPr="00296A50">
          <w:rPr>
            <w:rStyle w:val="Hipervnculo"/>
            <w:rFonts w:ascii="Times New Roman" w:hAnsi="Times New Roman" w:cs="Times New Roman"/>
            <w:sz w:val="24"/>
            <w:szCs w:val="24"/>
          </w:rPr>
          <w:t>ubaldoah@uclv.cu</w:t>
        </w:r>
      </w:hyperlink>
    </w:p>
    <w:p w:rsidR="008A1C16" w:rsidRPr="009D738B" w:rsidRDefault="00C67776" w:rsidP="006240D6">
      <w:pPr>
        <w:jc w:val="both"/>
        <w:rPr>
          <w:rFonts w:ascii="Times New Roman" w:hAnsi="Times New Roman" w:cs="Times New Roman"/>
          <w:sz w:val="24"/>
          <w:szCs w:val="24"/>
        </w:rPr>
      </w:pPr>
      <w:r>
        <w:br/>
      </w:r>
      <w:r w:rsidR="008A1C16" w:rsidRPr="009D738B">
        <w:rPr>
          <w:rFonts w:ascii="Times New Roman" w:hAnsi="Times New Roman" w:cs="Times New Roman"/>
          <w:b/>
          <w:sz w:val="24"/>
          <w:szCs w:val="24"/>
        </w:rPr>
        <w:t>Resumen:</w:t>
      </w:r>
      <w:r w:rsidR="009061A5" w:rsidRPr="009D738B">
        <w:rPr>
          <w:rFonts w:ascii="Times New Roman" w:hAnsi="Times New Roman" w:cs="Times New Roman"/>
          <w:sz w:val="24"/>
          <w:szCs w:val="24"/>
        </w:rPr>
        <w:t xml:space="preserve"> </w:t>
      </w:r>
    </w:p>
    <w:p w:rsidR="009B640C" w:rsidRPr="009B640C" w:rsidRDefault="009B640C" w:rsidP="009B640C">
      <w:pPr>
        <w:spacing w:before="120" w:after="120" w:line="360" w:lineRule="auto"/>
        <w:jc w:val="both"/>
        <w:rPr>
          <w:rFonts w:ascii="Times New Roman" w:hAnsi="Times New Roman" w:cs="Times New Roman"/>
          <w:sz w:val="24"/>
          <w:szCs w:val="24"/>
        </w:rPr>
      </w:pPr>
      <w:r w:rsidRPr="009B640C">
        <w:rPr>
          <w:rFonts w:ascii="Times New Roman" w:hAnsi="Times New Roman" w:cs="Times New Roman"/>
          <w:sz w:val="24"/>
          <w:szCs w:val="24"/>
        </w:rPr>
        <w:t xml:space="preserve">La investigación se realizó en el área de producción del banco de semilla certificada perteneciente a la Unidad Empresarial de Base de Atención a Productores (UEB-APA) José María Pérez de la Empresa Azucarera Villa Clara, ubicada en el municipio Camajuaní, durante el período de enero de 2017 a enero de 2018. El diseño experimental utilizado fue bloques al azar con tres repeticiones y tres tratamientos con el objetivo de evaluar la influencia de los marcos de plantación 1,40m, 1,60m y 1,40m + 0,40m sobre el crecimiento y el rendimiento agrícola y sus componentes en el cultivar C-90-469. Se evaluó la brotación y el ahijamiento, se determinó el largo y ancho de la hoja + 1, el número de hojas activas y área foliar, así como el largo, ancho y número de entrenudos por tallo y se determinó el índice de madurez. Para la determinación del estimado de </w:t>
      </w:r>
      <w:r w:rsidRPr="009B640C">
        <w:rPr>
          <w:rFonts w:ascii="Times New Roman" w:hAnsi="Times New Roman" w:cs="Times New Roman"/>
          <w:sz w:val="24"/>
          <w:szCs w:val="24"/>
        </w:rPr>
        <w:lastRenderedPageBreak/>
        <w:t>rendimiento agrícola se tuvo en cuenta el número de tallos por metro lineal y el peso promedio de los tallos por tratamiento. En la distancia de plantación surco de base ancha se produjo un incremento del promedio de brotes por metro lineal, norma de ahijamiento y área foliar; el promedio de entrenudos, largo y diámetro de los mismos se comportó ligeramente inferior al resto de los tratamientos y se obtuvo un incremento significativo del número de tallos por metro lineal, alcanzándose un estimado de 89 991 tallos por hectárea indicador esencial por su incidencia en el rendimiento agrícola.</w:t>
      </w:r>
    </w:p>
    <w:p w:rsidR="00A45860" w:rsidRPr="009B640C" w:rsidRDefault="00A45860" w:rsidP="00A45860">
      <w:pPr>
        <w:spacing w:line="240" w:lineRule="auto"/>
        <w:jc w:val="both"/>
        <w:rPr>
          <w:rFonts w:ascii="Times New Roman" w:hAnsi="Times New Roman" w:cs="Times New Roman"/>
          <w:sz w:val="24"/>
          <w:szCs w:val="24"/>
        </w:rPr>
      </w:pPr>
      <w:r w:rsidRPr="009029F7">
        <w:rPr>
          <w:rFonts w:ascii="Times New Roman" w:hAnsi="Times New Roman" w:cs="Times New Roman"/>
          <w:b/>
          <w:sz w:val="24"/>
          <w:szCs w:val="24"/>
        </w:rPr>
        <w:t>Palabras Clave</w:t>
      </w:r>
      <w:r w:rsidR="009D738B">
        <w:rPr>
          <w:rFonts w:ascii="Times New Roman" w:hAnsi="Times New Roman" w:cs="Times New Roman"/>
          <w:b/>
          <w:sz w:val="24"/>
          <w:szCs w:val="24"/>
        </w:rPr>
        <w:t xml:space="preserve">: </w:t>
      </w:r>
      <w:r w:rsidR="009B640C" w:rsidRPr="009B640C">
        <w:rPr>
          <w:rFonts w:ascii="Times New Roman" w:hAnsi="Times New Roman" w:cs="Times New Roman"/>
          <w:sz w:val="24"/>
          <w:szCs w:val="24"/>
        </w:rPr>
        <w:t>Brotación ahijamiento, crecimiento, rendimiento.</w:t>
      </w:r>
    </w:p>
    <w:p w:rsidR="009061A5" w:rsidRPr="00AD7048" w:rsidRDefault="009061A5" w:rsidP="00FF3346">
      <w:pPr>
        <w:spacing w:after="0" w:line="360" w:lineRule="auto"/>
        <w:jc w:val="both"/>
        <w:rPr>
          <w:rFonts w:ascii="Times New Roman" w:hAnsi="Times New Roman" w:cs="Times New Roman"/>
          <w:sz w:val="24"/>
          <w:szCs w:val="24"/>
          <w:lang w:val="en-US"/>
        </w:rPr>
      </w:pPr>
      <w:r w:rsidRPr="00AD7048">
        <w:rPr>
          <w:rFonts w:ascii="Times New Roman" w:hAnsi="Times New Roman" w:cs="Times New Roman"/>
          <w:b/>
          <w:i/>
          <w:sz w:val="24"/>
          <w:szCs w:val="24"/>
          <w:lang w:val="en-US"/>
        </w:rPr>
        <w:t>Abstract:</w:t>
      </w:r>
      <w:r w:rsidR="009029F7" w:rsidRPr="00AD7048">
        <w:rPr>
          <w:rFonts w:ascii="Times New Roman" w:hAnsi="Times New Roman" w:cs="Times New Roman"/>
          <w:sz w:val="24"/>
          <w:szCs w:val="24"/>
          <w:lang w:val="en-US"/>
        </w:rPr>
        <w:t xml:space="preserve"> </w:t>
      </w:r>
    </w:p>
    <w:p w:rsidR="00AD7048" w:rsidRPr="00AD7048" w:rsidRDefault="00AD7048" w:rsidP="00AD70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i/>
          <w:sz w:val="24"/>
          <w:szCs w:val="24"/>
        </w:rPr>
      </w:pPr>
      <w:proofErr w:type="spellStart"/>
      <w:r w:rsidRPr="00AD7048">
        <w:rPr>
          <w:rFonts w:ascii="Times New Roman" w:hAnsi="Times New Roman" w:cs="Times New Roman"/>
          <w:i/>
          <w:sz w:val="24"/>
          <w:szCs w:val="24"/>
        </w:rPr>
        <w:t>The</w:t>
      </w:r>
      <w:proofErr w:type="spellEnd"/>
      <w:r w:rsidRPr="00AD7048">
        <w:rPr>
          <w:rFonts w:ascii="Times New Roman" w:hAnsi="Times New Roman" w:cs="Times New Roman"/>
          <w:i/>
          <w:sz w:val="24"/>
          <w:szCs w:val="24"/>
        </w:rPr>
        <w:t xml:space="preserve"> </w:t>
      </w:r>
      <w:proofErr w:type="spellStart"/>
      <w:r w:rsidRPr="00AD7048">
        <w:rPr>
          <w:rFonts w:ascii="Times New Roman" w:hAnsi="Times New Roman" w:cs="Times New Roman"/>
          <w:i/>
          <w:sz w:val="24"/>
          <w:szCs w:val="24"/>
        </w:rPr>
        <w:t>research</w:t>
      </w:r>
      <w:proofErr w:type="spellEnd"/>
      <w:r w:rsidRPr="00AD7048">
        <w:rPr>
          <w:rFonts w:ascii="Times New Roman" w:hAnsi="Times New Roman" w:cs="Times New Roman"/>
          <w:i/>
          <w:sz w:val="24"/>
          <w:szCs w:val="24"/>
        </w:rPr>
        <w:t xml:space="preserve"> </w:t>
      </w:r>
      <w:proofErr w:type="spellStart"/>
      <w:r w:rsidRPr="00AD7048">
        <w:rPr>
          <w:rFonts w:ascii="Times New Roman" w:hAnsi="Times New Roman" w:cs="Times New Roman"/>
          <w:i/>
          <w:sz w:val="24"/>
          <w:szCs w:val="24"/>
        </w:rPr>
        <w:t>was</w:t>
      </w:r>
      <w:proofErr w:type="spellEnd"/>
      <w:r w:rsidRPr="00AD7048">
        <w:rPr>
          <w:rFonts w:ascii="Times New Roman" w:hAnsi="Times New Roman" w:cs="Times New Roman"/>
          <w:i/>
          <w:sz w:val="24"/>
          <w:szCs w:val="24"/>
        </w:rPr>
        <w:t xml:space="preserve"> </w:t>
      </w:r>
      <w:proofErr w:type="spellStart"/>
      <w:r w:rsidRPr="00AD7048">
        <w:rPr>
          <w:rFonts w:ascii="Times New Roman" w:hAnsi="Times New Roman" w:cs="Times New Roman"/>
          <w:i/>
          <w:sz w:val="24"/>
          <w:szCs w:val="24"/>
        </w:rPr>
        <w:t>carried</w:t>
      </w:r>
      <w:proofErr w:type="spellEnd"/>
      <w:r w:rsidRPr="00AD7048">
        <w:rPr>
          <w:rFonts w:ascii="Times New Roman" w:hAnsi="Times New Roman" w:cs="Times New Roman"/>
          <w:i/>
          <w:sz w:val="24"/>
          <w:szCs w:val="24"/>
        </w:rPr>
        <w:t xml:space="preserve"> out in the production area of ​​the certified seed bank belonging to the Business Unit of Attention to Producers (UEB-APA) José María Pérez of the Villa Clara Sugar Company, located in </w:t>
      </w:r>
      <w:proofErr w:type="spellStart"/>
      <w:r w:rsidRPr="00AD7048">
        <w:rPr>
          <w:rFonts w:ascii="Times New Roman" w:hAnsi="Times New Roman" w:cs="Times New Roman"/>
          <w:i/>
          <w:sz w:val="24"/>
          <w:szCs w:val="24"/>
        </w:rPr>
        <w:t>the</w:t>
      </w:r>
      <w:proofErr w:type="spellEnd"/>
      <w:r w:rsidRPr="00AD7048">
        <w:rPr>
          <w:rFonts w:ascii="Times New Roman" w:hAnsi="Times New Roman" w:cs="Times New Roman"/>
          <w:i/>
          <w:sz w:val="24"/>
          <w:szCs w:val="24"/>
        </w:rPr>
        <w:t xml:space="preserve"> </w:t>
      </w:r>
      <w:proofErr w:type="spellStart"/>
      <w:r w:rsidRPr="00AD7048">
        <w:rPr>
          <w:rFonts w:ascii="Times New Roman" w:hAnsi="Times New Roman" w:cs="Times New Roman"/>
          <w:i/>
          <w:sz w:val="24"/>
          <w:szCs w:val="24"/>
        </w:rPr>
        <w:t>municipality</w:t>
      </w:r>
      <w:proofErr w:type="spellEnd"/>
      <w:r w:rsidRPr="00AD7048">
        <w:rPr>
          <w:rFonts w:ascii="Times New Roman" w:hAnsi="Times New Roman" w:cs="Times New Roman"/>
          <w:i/>
          <w:sz w:val="24"/>
          <w:szCs w:val="24"/>
        </w:rPr>
        <w:t xml:space="preserve"> of Camajuaní, </w:t>
      </w:r>
      <w:proofErr w:type="spellStart"/>
      <w:r w:rsidRPr="00AD7048">
        <w:rPr>
          <w:rFonts w:ascii="Times New Roman" w:hAnsi="Times New Roman" w:cs="Times New Roman"/>
          <w:i/>
          <w:sz w:val="24"/>
          <w:szCs w:val="24"/>
        </w:rPr>
        <w:t>during</w:t>
      </w:r>
      <w:proofErr w:type="spellEnd"/>
      <w:r w:rsidRPr="00AD7048">
        <w:rPr>
          <w:rFonts w:ascii="Times New Roman" w:hAnsi="Times New Roman" w:cs="Times New Roman"/>
          <w:i/>
          <w:sz w:val="24"/>
          <w:szCs w:val="24"/>
        </w:rPr>
        <w:t xml:space="preserve"> </w:t>
      </w:r>
      <w:proofErr w:type="spellStart"/>
      <w:r w:rsidRPr="00AD7048">
        <w:rPr>
          <w:rFonts w:ascii="Times New Roman" w:hAnsi="Times New Roman" w:cs="Times New Roman"/>
          <w:i/>
          <w:sz w:val="24"/>
          <w:szCs w:val="24"/>
        </w:rPr>
        <w:t>the</w:t>
      </w:r>
      <w:proofErr w:type="spellEnd"/>
      <w:r w:rsidRPr="00AD7048">
        <w:rPr>
          <w:rFonts w:ascii="Times New Roman" w:hAnsi="Times New Roman" w:cs="Times New Roman"/>
          <w:i/>
          <w:sz w:val="24"/>
          <w:szCs w:val="24"/>
        </w:rPr>
        <w:t xml:space="preserve"> </w:t>
      </w:r>
      <w:proofErr w:type="spellStart"/>
      <w:r w:rsidRPr="00AD7048">
        <w:rPr>
          <w:rFonts w:ascii="Times New Roman" w:hAnsi="Times New Roman" w:cs="Times New Roman"/>
          <w:i/>
          <w:sz w:val="24"/>
          <w:szCs w:val="24"/>
        </w:rPr>
        <w:t>period</w:t>
      </w:r>
      <w:proofErr w:type="spellEnd"/>
      <w:r w:rsidRPr="00AD7048">
        <w:rPr>
          <w:rFonts w:ascii="Times New Roman" w:hAnsi="Times New Roman" w:cs="Times New Roman"/>
          <w:i/>
          <w:sz w:val="24"/>
          <w:szCs w:val="24"/>
        </w:rPr>
        <w:t xml:space="preserve"> of January 2017 to January 2018. The experimental design used was randomized blocks with three repetitions and three treatments with the objective of evaluating the influence of plantation frames 1.40m, 1.60m and 1.40m + 0.40m above growth and agricultural yield and its components in the cultivar C-90-469. </w:t>
      </w:r>
      <w:proofErr w:type="spellStart"/>
      <w:r w:rsidRPr="00AD7048">
        <w:rPr>
          <w:rFonts w:ascii="Times New Roman" w:hAnsi="Times New Roman" w:cs="Times New Roman"/>
          <w:i/>
          <w:sz w:val="24"/>
          <w:szCs w:val="24"/>
        </w:rPr>
        <w:t>Sprouting</w:t>
      </w:r>
      <w:proofErr w:type="spellEnd"/>
      <w:r w:rsidRPr="00AD7048">
        <w:rPr>
          <w:rFonts w:ascii="Times New Roman" w:hAnsi="Times New Roman" w:cs="Times New Roman"/>
          <w:i/>
          <w:sz w:val="24"/>
          <w:szCs w:val="24"/>
        </w:rPr>
        <w:t xml:space="preserve"> and </w:t>
      </w:r>
      <w:proofErr w:type="spellStart"/>
      <w:r w:rsidRPr="00AD7048">
        <w:rPr>
          <w:rFonts w:ascii="Times New Roman" w:hAnsi="Times New Roman" w:cs="Times New Roman"/>
          <w:i/>
          <w:sz w:val="24"/>
          <w:szCs w:val="24"/>
        </w:rPr>
        <w:t>tillering</w:t>
      </w:r>
      <w:proofErr w:type="spellEnd"/>
      <w:r w:rsidRPr="00AD7048">
        <w:rPr>
          <w:rFonts w:ascii="Times New Roman" w:hAnsi="Times New Roman" w:cs="Times New Roman"/>
          <w:i/>
          <w:sz w:val="24"/>
          <w:szCs w:val="24"/>
        </w:rPr>
        <w:t xml:space="preserve"> </w:t>
      </w:r>
      <w:proofErr w:type="spellStart"/>
      <w:r w:rsidRPr="00AD7048">
        <w:rPr>
          <w:rFonts w:ascii="Times New Roman" w:hAnsi="Times New Roman" w:cs="Times New Roman"/>
          <w:i/>
          <w:sz w:val="24"/>
          <w:szCs w:val="24"/>
        </w:rPr>
        <w:t>were</w:t>
      </w:r>
      <w:proofErr w:type="spellEnd"/>
      <w:r w:rsidRPr="00AD7048">
        <w:rPr>
          <w:rFonts w:ascii="Times New Roman" w:hAnsi="Times New Roman" w:cs="Times New Roman"/>
          <w:i/>
          <w:sz w:val="24"/>
          <w:szCs w:val="24"/>
        </w:rPr>
        <w:t xml:space="preserve"> </w:t>
      </w:r>
      <w:proofErr w:type="spellStart"/>
      <w:r w:rsidRPr="00AD7048">
        <w:rPr>
          <w:rFonts w:ascii="Times New Roman" w:hAnsi="Times New Roman" w:cs="Times New Roman"/>
          <w:i/>
          <w:sz w:val="24"/>
          <w:szCs w:val="24"/>
        </w:rPr>
        <w:t>evaluated</w:t>
      </w:r>
      <w:proofErr w:type="spellEnd"/>
      <w:r w:rsidRPr="00AD7048">
        <w:rPr>
          <w:rFonts w:ascii="Times New Roman" w:hAnsi="Times New Roman" w:cs="Times New Roman"/>
          <w:i/>
          <w:sz w:val="24"/>
          <w:szCs w:val="24"/>
        </w:rPr>
        <w:t xml:space="preserve">, </w:t>
      </w:r>
      <w:proofErr w:type="spellStart"/>
      <w:r w:rsidRPr="00AD7048">
        <w:rPr>
          <w:rFonts w:ascii="Times New Roman" w:hAnsi="Times New Roman" w:cs="Times New Roman"/>
          <w:i/>
          <w:sz w:val="24"/>
          <w:szCs w:val="24"/>
        </w:rPr>
        <w:t>the</w:t>
      </w:r>
      <w:proofErr w:type="spellEnd"/>
      <w:r w:rsidRPr="00AD7048">
        <w:rPr>
          <w:rFonts w:ascii="Times New Roman" w:hAnsi="Times New Roman" w:cs="Times New Roman"/>
          <w:i/>
          <w:sz w:val="24"/>
          <w:szCs w:val="24"/>
        </w:rPr>
        <w:t xml:space="preserve"> length and width of the leaf + 1, the number of active leaves and leaf area, as well as the length, width and number of internodes per stem were determined and the maturity index was determined. To determine the estimate of agricultural yield, the number of stems per linear meter and the average weight of stems per treatment were taken into account. In the wide groove furrow plantation distance there was an increase in the average of shoots per lineal meter, </w:t>
      </w:r>
      <w:proofErr w:type="spellStart"/>
      <w:r w:rsidRPr="00AD7048">
        <w:rPr>
          <w:rFonts w:ascii="Times New Roman" w:hAnsi="Times New Roman" w:cs="Times New Roman"/>
          <w:i/>
          <w:sz w:val="24"/>
          <w:szCs w:val="24"/>
        </w:rPr>
        <w:t>norm</w:t>
      </w:r>
      <w:proofErr w:type="spellEnd"/>
      <w:r w:rsidRPr="00AD7048">
        <w:rPr>
          <w:rFonts w:ascii="Times New Roman" w:hAnsi="Times New Roman" w:cs="Times New Roman"/>
          <w:i/>
          <w:sz w:val="24"/>
          <w:szCs w:val="24"/>
        </w:rPr>
        <w:t xml:space="preserve"> of </w:t>
      </w:r>
      <w:proofErr w:type="spellStart"/>
      <w:r w:rsidRPr="00AD7048">
        <w:rPr>
          <w:rFonts w:ascii="Times New Roman" w:hAnsi="Times New Roman" w:cs="Times New Roman"/>
          <w:i/>
          <w:sz w:val="24"/>
          <w:szCs w:val="24"/>
        </w:rPr>
        <w:t>tillering</w:t>
      </w:r>
      <w:proofErr w:type="spellEnd"/>
      <w:r w:rsidRPr="00AD7048">
        <w:rPr>
          <w:rFonts w:ascii="Times New Roman" w:hAnsi="Times New Roman" w:cs="Times New Roman"/>
          <w:i/>
          <w:sz w:val="24"/>
          <w:szCs w:val="24"/>
        </w:rPr>
        <w:t xml:space="preserve"> and foliar </w:t>
      </w:r>
      <w:proofErr w:type="spellStart"/>
      <w:r w:rsidRPr="00AD7048">
        <w:rPr>
          <w:rFonts w:ascii="Times New Roman" w:hAnsi="Times New Roman" w:cs="Times New Roman"/>
          <w:i/>
          <w:sz w:val="24"/>
          <w:szCs w:val="24"/>
        </w:rPr>
        <w:t>area</w:t>
      </w:r>
      <w:proofErr w:type="spellEnd"/>
      <w:r w:rsidRPr="00AD7048">
        <w:rPr>
          <w:rFonts w:ascii="Times New Roman" w:hAnsi="Times New Roman" w:cs="Times New Roman"/>
          <w:i/>
          <w:sz w:val="24"/>
          <w:szCs w:val="24"/>
        </w:rPr>
        <w:t xml:space="preserve">; The average internodes, length and diameter of them behaved slightly lower than the rest of the treatments and a significant increase in the number of stems per linear meter was obtained, reaching an estimate of 89 991 stems per hectare, an essential indicator due to </w:t>
      </w:r>
      <w:proofErr w:type="spellStart"/>
      <w:r w:rsidRPr="00AD7048">
        <w:rPr>
          <w:rFonts w:ascii="Times New Roman" w:hAnsi="Times New Roman" w:cs="Times New Roman"/>
          <w:i/>
          <w:sz w:val="24"/>
          <w:szCs w:val="24"/>
        </w:rPr>
        <w:t>its</w:t>
      </w:r>
      <w:proofErr w:type="spellEnd"/>
      <w:r w:rsidRPr="00AD7048">
        <w:rPr>
          <w:rFonts w:ascii="Times New Roman" w:hAnsi="Times New Roman" w:cs="Times New Roman"/>
          <w:i/>
          <w:sz w:val="24"/>
          <w:szCs w:val="24"/>
        </w:rPr>
        <w:t xml:space="preserve"> </w:t>
      </w:r>
      <w:proofErr w:type="spellStart"/>
      <w:r w:rsidRPr="00AD7048">
        <w:rPr>
          <w:rFonts w:ascii="Times New Roman" w:hAnsi="Times New Roman" w:cs="Times New Roman"/>
          <w:i/>
          <w:sz w:val="24"/>
          <w:szCs w:val="24"/>
        </w:rPr>
        <w:t>incidence</w:t>
      </w:r>
      <w:proofErr w:type="spellEnd"/>
      <w:r w:rsidRPr="00AD7048">
        <w:rPr>
          <w:rFonts w:ascii="Times New Roman" w:hAnsi="Times New Roman" w:cs="Times New Roman"/>
          <w:i/>
          <w:sz w:val="24"/>
          <w:szCs w:val="24"/>
        </w:rPr>
        <w:t xml:space="preserve"> in </w:t>
      </w:r>
      <w:proofErr w:type="spellStart"/>
      <w:r w:rsidRPr="00AD7048">
        <w:rPr>
          <w:rFonts w:ascii="Times New Roman" w:hAnsi="Times New Roman" w:cs="Times New Roman"/>
          <w:i/>
          <w:sz w:val="24"/>
          <w:szCs w:val="24"/>
        </w:rPr>
        <w:t>the</w:t>
      </w:r>
      <w:proofErr w:type="spellEnd"/>
      <w:r w:rsidRPr="00AD7048">
        <w:rPr>
          <w:rFonts w:ascii="Times New Roman" w:hAnsi="Times New Roman" w:cs="Times New Roman"/>
          <w:i/>
          <w:sz w:val="24"/>
          <w:szCs w:val="24"/>
        </w:rPr>
        <w:t xml:space="preserve"> </w:t>
      </w:r>
      <w:proofErr w:type="spellStart"/>
      <w:r w:rsidRPr="00AD7048">
        <w:rPr>
          <w:rFonts w:ascii="Times New Roman" w:hAnsi="Times New Roman" w:cs="Times New Roman"/>
          <w:i/>
          <w:sz w:val="24"/>
          <w:szCs w:val="24"/>
        </w:rPr>
        <w:t>agricultural</w:t>
      </w:r>
      <w:proofErr w:type="spellEnd"/>
      <w:r w:rsidRPr="00AD7048">
        <w:rPr>
          <w:rFonts w:ascii="Times New Roman" w:hAnsi="Times New Roman" w:cs="Times New Roman"/>
          <w:i/>
          <w:sz w:val="24"/>
          <w:szCs w:val="24"/>
        </w:rPr>
        <w:t xml:space="preserve"> </w:t>
      </w:r>
      <w:proofErr w:type="spellStart"/>
      <w:r w:rsidRPr="00AD7048">
        <w:rPr>
          <w:rFonts w:ascii="Times New Roman" w:hAnsi="Times New Roman" w:cs="Times New Roman"/>
          <w:i/>
          <w:sz w:val="24"/>
          <w:szCs w:val="24"/>
        </w:rPr>
        <w:t>yield</w:t>
      </w:r>
      <w:proofErr w:type="spellEnd"/>
      <w:r w:rsidRPr="00AD7048">
        <w:rPr>
          <w:rFonts w:ascii="Times New Roman" w:hAnsi="Times New Roman" w:cs="Times New Roman"/>
          <w:i/>
          <w:sz w:val="24"/>
          <w:szCs w:val="24"/>
        </w:rPr>
        <w:t>.</w:t>
      </w:r>
    </w:p>
    <w:p w:rsidR="00D36D1C" w:rsidRDefault="009061A5" w:rsidP="00AD7048">
      <w:pPr>
        <w:pStyle w:val="HTMLconformatoprevio"/>
        <w:rPr>
          <w:rFonts w:ascii="Times New Roman" w:hAnsi="Times New Roman" w:cs="Times New Roman"/>
          <w:i/>
          <w:sz w:val="24"/>
          <w:szCs w:val="24"/>
          <w:lang w:val="en-US"/>
        </w:rPr>
      </w:pPr>
      <w:r w:rsidRPr="00AD7048">
        <w:rPr>
          <w:rFonts w:ascii="Times New Roman" w:hAnsi="Times New Roman" w:cs="Times New Roman"/>
          <w:b/>
          <w:i/>
          <w:sz w:val="24"/>
          <w:szCs w:val="24"/>
          <w:lang w:val="en-US"/>
        </w:rPr>
        <w:t>Keywords:</w:t>
      </w:r>
      <w:r w:rsidRPr="00AD7048">
        <w:rPr>
          <w:rFonts w:ascii="Times New Roman" w:hAnsi="Times New Roman" w:cs="Times New Roman"/>
          <w:sz w:val="24"/>
          <w:szCs w:val="24"/>
          <w:lang w:val="en-US"/>
        </w:rPr>
        <w:t xml:space="preserve"> </w:t>
      </w:r>
      <w:r w:rsidR="00AD7048" w:rsidRPr="00AD7048">
        <w:rPr>
          <w:rFonts w:ascii="Times New Roman" w:hAnsi="Times New Roman" w:cs="Times New Roman"/>
          <w:i/>
          <w:sz w:val="24"/>
          <w:szCs w:val="24"/>
          <w:lang w:val="en-US"/>
        </w:rPr>
        <w:t xml:space="preserve">Budding </w:t>
      </w:r>
      <w:proofErr w:type="spellStart"/>
      <w:r w:rsidR="00AD7048" w:rsidRPr="00AD7048">
        <w:rPr>
          <w:rFonts w:ascii="Times New Roman" w:hAnsi="Times New Roman" w:cs="Times New Roman"/>
          <w:i/>
          <w:sz w:val="24"/>
          <w:szCs w:val="24"/>
          <w:lang w:val="en-US"/>
        </w:rPr>
        <w:t>tillering</w:t>
      </w:r>
      <w:proofErr w:type="spellEnd"/>
      <w:r w:rsidR="00AD7048" w:rsidRPr="00AD7048">
        <w:rPr>
          <w:rFonts w:ascii="Times New Roman" w:hAnsi="Times New Roman" w:cs="Times New Roman"/>
          <w:i/>
          <w:sz w:val="24"/>
          <w:szCs w:val="24"/>
          <w:lang w:val="en-US"/>
        </w:rPr>
        <w:t xml:space="preserve">, </w:t>
      </w:r>
      <w:r w:rsidR="00AD7048">
        <w:rPr>
          <w:rFonts w:ascii="Times New Roman" w:hAnsi="Times New Roman" w:cs="Times New Roman"/>
          <w:i/>
          <w:sz w:val="24"/>
          <w:szCs w:val="24"/>
          <w:lang w:val="en-US"/>
        </w:rPr>
        <w:t>G</w:t>
      </w:r>
      <w:r w:rsidR="00AD7048" w:rsidRPr="00AD7048">
        <w:rPr>
          <w:rFonts w:ascii="Times New Roman" w:hAnsi="Times New Roman" w:cs="Times New Roman"/>
          <w:i/>
          <w:sz w:val="24"/>
          <w:szCs w:val="24"/>
          <w:lang w:val="en-US"/>
        </w:rPr>
        <w:t>rowth</w:t>
      </w:r>
      <w:r w:rsidR="00AD7048">
        <w:rPr>
          <w:rFonts w:ascii="Times New Roman" w:hAnsi="Times New Roman" w:cs="Times New Roman"/>
          <w:i/>
          <w:sz w:val="24"/>
          <w:szCs w:val="24"/>
          <w:lang w:val="en-US"/>
        </w:rPr>
        <w:t>, Yield</w:t>
      </w:r>
    </w:p>
    <w:p w:rsidR="00D837AF" w:rsidRDefault="00D837AF" w:rsidP="00AD7048">
      <w:pPr>
        <w:pStyle w:val="HTMLconformatoprevio"/>
        <w:rPr>
          <w:rFonts w:ascii="Times New Roman" w:hAnsi="Times New Roman" w:cs="Times New Roman"/>
          <w:i/>
          <w:sz w:val="24"/>
          <w:szCs w:val="24"/>
          <w:lang w:val="en-US"/>
        </w:rPr>
      </w:pPr>
    </w:p>
    <w:p w:rsidR="00D837AF" w:rsidRDefault="00D837AF" w:rsidP="00AD7048">
      <w:pPr>
        <w:pStyle w:val="HTMLconformatoprevio"/>
        <w:rPr>
          <w:rFonts w:ascii="Times New Roman" w:hAnsi="Times New Roman" w:cs="Times New Roman"/>
          <w:i/>
          <w:sz w:val="24"/>
          <w:szCs w:val="24"/>
          <w:lang w:val="en-US"/>
        </w:rPr>
      </w:pPr>
    </w:p>
    <w:p w:rsidR="00D837AF" w:rsidRPr="00420EF0" w:rsidRDefault="00D837AF" w:rsidP="00D837AF">
      <w:pPr>
        <w:suppressAutoHyphens/>
        <w:spacing w:after="0" w:line="360" w:lineRule="auto"/>
        <w:jc w:val="both"/>
        <w:rPr>
          <w:rFonts w:ascii="Times New Roman" w:hAnsi="Times New Roman"/>
          <w:b/>
          <w:sz w:val="24"/>
        </w:rPr>
      </w:pPr>
      <w:r w:rsidRPr="00420EF0">
        <w:rPr>
          <w:rFonts w:ascii="Times New Roman" w:hAnsi="Times New Roman"/>
          <w:b/>
          <w:sz w:val="24"/>
        </w:rPr>
        <w:t>INTRODUCCIÓN</w:t>
      </w:r>
    </w:p>
    <w:p w:rsidR="00D837AF" w:rsidRPr="00420EF0" w:rsidRDefault="00D837AF" w:rsidP="00D837AF">
      <w:pPr>
        <w:spacing w:after="0" w:line="360" w:lineRule="auto"/>
        <w:jc w:val="both"/>
        <w:rPr>
          <w:rFonts w:ascii="Times New Roman" w:hAnsi="Times New Roman"/>
          <w:sz w:val="24"/>
        </w:rPr>
      </w:pPr>
      <w:r w:rsidRPr="00420EF0">
        <w:rPr>
          <w:rFonts w:ascii="Times New Roman" w:hAnsi="Times New Roman"/>
          <w:sz w:val="24"/>
        </w:rPr>
        <w:t xml:space="preserve">La necesidad de alcanzar una producción eficiente de caña de azúcar en Cuba, lleva implícita la urgencia de cambios en las prácticas agrícolas tradicionales. Por ello, la búsqueda de tecnologías más apropiadas para el incremento del rendimiento agrícola ha sido siempre preocupación de los productores e investigadores. En el mundo cañero, se emplea una amplia gama de distancias de plantación, que van desde 0,90 m hasta 1,80 m, y la mayoría de los productores coinciden en señalar que, dentro de ciertos límites, se obtienen incrementos en el rendimiento agrícola con las distancias menores, al aumentar el número de tallos por unidad de área (Barrantes </w:t>
      </w:r>
      <w:r w:rsidRPr="00420EF0">
        <w:rPr>
          <w:rFonts w:ascii="Times New Roman" w:hAnsi="Times New Roman"/>
          <w:i/>
          <w:sz w:val="24"/>
        </w:rPr>
        <w:t xml:space="preserve">et al., </w:t>
      </w:r>
      <w:r w:rsidRPr="00420EF0">
        <w:rPr>
          <w:rFonts w:ascii="Times New Roman" w:hAnsi="Times New Roman"/>
          <w:sz w:val="24"/>
        </w:rPr>
        <w:t>2015).</w:t>
      </w:r>
    </w:p>
    <w:p w:rsidR="00D837AF" w:rsidRPr="00420EF0" w:rsidRDefault="00D837AF" w:rsidP="00D837AF">
      <w:pPr>
        <w:spacing w:after="0" w:line="360" w:lineRule="auto"/>
        <w:jc w:val="both"/>
        <w:rPr>
          <w:rFonts w:ascii="Times New Roman" w:hAnsi="Times New Roman"/>
          <w:sz w:val="24"/>
        </w:rPr>
      </w:pPr>
      <w:r w:rsidRPr="00420EF0">
        <w:rPr>
          <w:rFonts w:ascii="Times New Roman" w:hAnsi="Times New Roman"/>
          <w:sz w:val="24"/>
        </w:rPr>
        <w:t>La distancia 1,40 + 0,40 m, conocida como surco de base ancha, tiene entre sus ventajas la de propiciar una hilera de caña más poblada, debido al mayor tamaño que alcanza la cepa, que se hace significativamente mayor, después de ser cosechada la caña planta, también se plantea la disminución de la compactación del suelo al transitar menos equipos por el área, tanto en el momento de la cosecha, como en la realización de otras labores culturales, lo que favorece la durabilidad de la cepa en estas plantaciones. La tecnología para la atención a plantaciones con estas distancias no requiere de la modificación de los equipos de cosecha, fertilización y cultivo, sólo es necesario la modificación del surcador que es sencilla y fácil de ejecutar (ETICA, 2016).</w:t>
      </w:r>
    </w:p>
    <w:p w:rsidR="00D837AF" w:rsidRPr="00420EF0" w:rsidRDefault="00D837AF" w:rsidP="00D837AF">
      <w:pPr>
        <w:spacing w:after="0" w:line="360" w:lineRule="auto"/>
        <w:jc w:val="both"/>
        <w:rPr>
          <w:rFonts w:ascii="Times New Roman" w:hAnsi="Times New Roman"/>
          <w:sz w:val="24"/>
        </w:rPr>
      </w:pPr>
      <w:r w:rsidRPr="00420EF0">
        <w:rPr>
          <w:rFonts w:ascii="Times New Roman" w:hAnsi="Times New Roman"/>
          <w:sz w:val="24"/>
        </w:rPr>
        <w:t xml:space="preserve">El cultivar C90-469, recomendado en 2002, emerge en 2005 entre los cultivares que superan el 1 % de propagación nacional, año a partir del cual promedió una tasa de crecimiento anual de 0,7 %. Se caracteriza por altos rendimientos agrícolas, 14 tallos por metro lineal, y elevado contenido azucarero en plantaciones de frío y primavera para cosechas de ciclos largo. Adaptable a suelos de mal drenaje y de floración escasa (hasta 5 %). Desde el punto de vista fitosanitario presenta resistencia intermedia a la roya, resistente al carbón, al virus del mosaico de la caña de azúcar y a escaldadura foliar (Santana </w:t>
      </w:r>
      <w:r w:rsidRPr="00420EF0">
        <w:rPr>
          <w:rFonts w:ascii="Times New Roman" w:hAnsi="Times New Roman"/>
          <w:i/>
          <w:sz w:val="24"/>
        </w:rPr>
        <w:t>et al</w:t>
      </w:r>
      <w:r w:rsidRPr="00420EF0">
        <w:rPr>
          <w:rFonts w:ascii="Times New Roman" w:hAnsi="Times New Roman"/>
          <w:sz w:val="24"/>
        </w:rPr>
        <w:t>., 2012).</w:t>
      </w:r>
    </w:p>
    <w:p w:rsidR="00D837AF" w:rsidRPr="00420EF0" w:rsidRDefault="00D837AF" w:rsidP="00D837AF">
      <w:pPr>
        <w:spacing w:after="0" w:line="360" w:lineRule="auto"/>
        <w:jc w:val="both"/>
        <w:rPr>
          <w:rFonts w:ascii="Times New Roman" w:hAnsi="Times New Roman"/>
          <w:sz w:val="24"/>
          <w:szCs w:val="24"/>
        </w:rPr>
      </w:pPr>
      <w:r w:rsidRPr="00420EF0">
        <w:rPr>
          <w:rFonts w:ascii="Times New Roman" w:hAnsi="Times New Roman"/>
          <w:sz w:val="24"/>
          <w:szCs w:val="24"/>
        </w:rPr>
        <w:t xml:space="preserve">El presente trabajo tuvo como objetivo evaluar la influencia de </w:t>
      </w:r>
      <w:r w:rsidRPr="00420EF0">
        <w:rPr>
          <w:rFonts w:ascii="Times New Roman" w:hAnsi="Times New Roman"/>
          <w:sz w:val="24"/>
        </w:rPr>
        <w:t>diferentes marcos de plantación sobre el crecimiento y el rendimiento agrícola y sus componentes</w:t>
      </w:r>
      <w:r w:rsidRPr="00420EF0">
        <w:rPr>
          <w:rFonts w:ascii="Times New Roman" w:hAnsi="Times New Roman"/>
          <w:sz w:val="24"/>
          <w:szCs w:val="24"/>
        </w:rPr>
        <w:t xml:space="preserve"> en el cultivar de Caña de Azúcar C90-469.</w:t>
      </w:r>
    </w:p>
    <w:p w:rsidR="00D837AF" w:rsidRPr="00420EF0" w:rsidRDefault="00D837AF" w:rsidP="00D837AF">
      <w:pPr>
        <w:spacing w:after="0" w:line="360" w:lineRule="auto"/>
        <w:jc w:val="both"/>
        <w:rPr>
          <w:rFonts w:ascii="Times New Roman" w:hAnsi="Times New Roman"/>
          <w:b/>
          <w:sz w:val="24"/>
        </w:rPr>
      </w:pPr>
      <w:r w:rsidRPr="00420EF0">
        <w:rPr>
          <w:rFonts w:ascii="Times New Roman" w:hAnsi="Times New Roman"/>
          <w:b/>
          <w:sz w:val="24"/>
        </w:rPr>
        <w:t>MATERIALES Y MÉTODOS</w:t>
      </w:r>
    </w:p>
    <w:p w:rsidR="00D837AF" w:rsidRPr="00420EF0" w:rsidRDefault="00D837AF" w:rsidP="00D837AF">
      <w:pPr>
        <w:spacing w:after="0" w:line="360" w:lineRule="auto"/>
        <w:jc w:val="both"/>
        <w:rPr>
          <w:rFonts w:ascii="Times New Roman" w:hAnsi="Times New Roman"/>
          <w:sz w:val="24"/>
        </w:rPr>
      </w:pPr>
      <w:r w:rsidRPr="00420EF0">
        <w:rPr>
          <w:rFonts w:ascii="Times New Roman" w:hAnsi="Times New Roman"/>
          <w:bCs/>
          <w:sz w:val="24"/>
        </w:rPr>
        <w:t>La investigación se realizó en el área de producción del b</w:t>
      </w:r>
      <w:r w:rsidRPr="00420EF0">
        <w:rPr>
          <w:rFonts w:ascii="Times New Roman" w:hAnsi="Times New Roman"/>
          <w:sz w:val="24"/>
        </w:rPr>
        <w:t xml:space="preserve">anco de semilla registrada perteneciente a la </w:t>
      </w:r>
      <w:r w:rsidRPr="00420EF0">
        <w:rPr>
          <w:rFonts w:ascii="Times New Roman" w:hAnsi="Times New Roman"/>
          <w:color w:val="000000"/>
          <w:sz w:val="24"/>
          <w:szCs w:val="24"/>
        </w:rPr>
        <w:t>Unidad Empresarial de Base de Atención a Productores (UEB-APA) José María Pérez de la Empresa Azucarera Villa Clara,</w:t>
      </w:r>
      <w:r w:rsidRPr="00420EF0">
        <w:rPr>
          <w:rFonts w:ascii="Times New Roman" w:hAnsi="Times New Roman"/>
          <w:sz w:val="24"/>
        </w:rPr>
        <w:t xml:space="preserve"> en un suelo ferralítico rojo según (Hernández </w:t>
      </w:r>
      <w:r w:rsidRPr="00420EF0">
        <w:rPr>
          <w:rFonts w:ascii="Times New Roman" w:hAnsi="Times New Roman"/>
          <w:i/>
          <w:sz w:val="24"/>
        </w:rPr>
        <w:t>et al</w:t>
      </w:r>
      <w:r w:rsidRPr="00420EF0">
        <w:rPr>
          <w:rFonts w:ascii="Times New Roman" w:hAnsi="Times New Roman"/>
          <w:sz w:val="24"/>
        </w:rPr>
        <w:t xml:space="preserve">., 2015), ubicada en el municipio de Camajuaní, durante el período de febrero de 2017 a febrero de 2018. </w:t>
      </w:r>
    </w:p>
    <w:p w:rsidR="00D837AF" w:rsidRPr="00420EF0" w:rsidRDefault="00D837AF" w:rsidP="00D837AF">
      <w:pPr>
        <w:spacing w:after="0" w:line="360" w:lineRule="auto"/>
        <w:jc w:val="both"/>
        <w:rPr>
          <w:rFonts w:ascii="Times New Roman" w:hAnsi="Times New Roman"/>
          <w:sz w:val="24"/>
        </w:rPr>
      </w:pPr>
      <w:r w:rsidRPr="00420EF0">
        <w:rPr>
          <w:rFonts w:ascii="Times New Roman" w:hAnsi="Times New Roman"/>
          <w:sz w:val="24"/>
        </w:rPr>
        <w:t>La fec</w:t>
      </w:r>
      <w:r w:rsidRPr="00420EF0">
        <w:rPr>
          <w:rFonts w:ascii="Times New Roman" w:hAnsi="Times New Roman"/>
          <w:bCs/>
          <w:sz w:val="24"/>
        </w:rPr>
        <w:t xml:space="preserve">ha de plantación fue el 4 de febrero de 2017, el cultivar empleado fue </w:t>
      </w:r>
      <w:r w:rsidRPr="00420EF0">
        <w:rPr>
          <w:rFonts w:ascii="Times New Roman" w:hAnsi="Times New Roman"/>
          <w:sz w:val="24"/>
          <w:szCs w:val="24"/>
        </w:rPr>
        <w:t>C90-469</w:t>
      </w:r>
      <w:r w:rsidRPr="00420EF0">
        <w:rPr>
          <w:rFonts w:ascii="Times New Roman" w:eastAsia="+mn-ea" w:hAnsi="Times New Roman"/>
          <w:color w:val="000000"/>
          <w:kern w:val="24"/>
          <w:sz w:val="24"/>
        </w:rPr>
        <w:t>; el diseño experimental utilizado fue b</w:t>
      </w:r>
      <w:r w:rsidRPr="00420EF0">
        <w:rPr>
          <w:rFonts w:ascii="Times New Roman" w:hAnsi="Times New Roman"/>
          <w:sz w:val="24"/>
        </w:rPr>
        <w:t>loques al azar con tres repeticiones y tres tratamientos con un total de nueve parcelas, los tratamientos consistieron en evaluar distintas distancias de plantación (distancias de camellón) empleadas en la actualidad en los países productores de caña de azúcar: 1,40 m; 1,60 m y surco de base ancha (1,40 m + 0,40 m) a surco corrido con estacas sencillas de tres yemas. La longitud de los bloques fue de 10 m y la distancia entre tratamientos y bloques de 1m.</w:t>
      </w:r>
    </w:p>
    <w:p w:rsidR="00D837AF" w:rsidRPr="00420EF0" w:rsidRDefault="00D837AF" w:rsidP="00D837AF">
      <w:pPr>
        <w:spacing w:after="0" w:line="360" w:lineRule="auto"/>
        <w:jc w:val="both"/>
        <w:rPr>
          <w:rFonts w:ascii="Times New Roman" w:hAnsi="Times New Roman"/>
          <w:sz w:val="24"/>
        </w:rPr>
      </w:pPr>
      <w:r w:rsidRPr="00420EF0">
        <w:rPr>
          <w:rFonts w:ascii="Times New Roman" w:hAnsi="Times New Roman"/>
          <w:sz w:val="24"/>
        </w:rPr>
        <w:t xml:space="preserve">La semilla empleada fue una semilla registrada RI, de 10 meses de edad obtenida en el propio banco de semilla. Se le aplicó tratamiento hidrotérmico (HTT) y químico, el cual consistió en el remojado con circulación constante de agua a temperatura ambiente durante 24 horas, tratamiento hidrotérmico (HTT) a 53 </w:t>
      </w:r>
      <w:proofErr w:type="spellStart"/>
      <w:r w:rsidRPr="00420EF0">
        <w:rPr>
          <w:rFonts w:ascii="Times New Roman" w:hAnsi="Times New Roman"/>
          <w:sz w:val="24"/>
          <w:vertAlign w:val="superscript"/>
        </w:rPr>
        <w:t>o</w:t>
      </w:r>
      <w:r w:rsidRPr="00420EF0">
        <w:rPr>
          <w:rFonts w:ascii="Times New Roman" w:hAnsi="Times New Roman"/>
          <w:sz w:val="24"/>
        </w:rPr>
        <w:t>C</w:t>
      </w:r>
      <w:proofErr w:type="spellEnd"/>
      <w:r w:rsidRPr="00420EF0">
        <w:rPr>
          <w:rFonts w:ascii="Times New Roman" w:hAnsi="Times New Roman"/>
          <w:sz w:val="24"/>
        </w:rPr>
        <w:t xml:space="preserve"> durante 20 minutos; enfriamiento inmediato en solución fungicida </w:t>
      </w:r>
      <w:proofErr w:type="spellStart"/>
      <w:r w:rsidRPr="00420EF0">
        <w:rPr>
          <w:rFonts w:ascii="Times New Roman" w:hAnsi="Times New Roman"/>
          <w:sz w:val="24"/>
        </w:rPr>
        <w:t>propiconazol</w:t>
      </w:r>
      <w:proofErr w:type="spellEnd"/>
      <w:r w:rsidRPr="00420EF0">
        <w:rPr>
          <w:rFonts w:ascii="Times New Roman" w:hAnsi="Times New Roman"/>
          <w:sz w:val="24"/>
        </w:rPr>
        <w:t xml:space="preserve">, nombre comercial </w:t>
      </w:r>
      <w:r w:rsidRPr="00420EF0">
        <w:rPr>
          <w:rFonts w:ascii="Times New Roman" w:hAnsi="Times New Roman"/>
          <w:i/>
          <w:sz w:val="24"/>
        </w:rPr>
        <w:t xml:space="preserve">Salto </w:t>
      </w:r>
      <w:proofErr w:type="spellStart"/>
      <w:r w:rsidRPr="00420EF0">
        <w:rPr>
          <w:rFonts w:ascii="Times New Roman" w:hAnsi="Times New Roman"/>
          <w:i/>
          <w:sz w:val="24"/>
        </w:rPr>
        <w:t>Ecna</w:t>
      </w:r>
      <w:proofErr w:type="spellEnd"/>
      <w:r w:rsidRPr="00420EF0">
        <w:rPr>
          <w:rFonts w:ascii="Times New Roman" w:hAnsi="Times New Roman"/>
          <w:sz w:val="24"/>
        </w:rPr>
        <w:t xml:space="preserve"> 25 durante15 minutos y por último reposo a la sombra durante 24 horas (INICA, 2010).</w:t>
      </w:r>
    </w:p>
    <w:p w:rsidR="00D837AF" w:rsidRPr="00420EF0" w:rsidRDefault="00D837AF" w:rsidP="00D837AF">
      <w:pPr>
        <w:spacing w:after="0" w:line="360" w:lineRule="auto"/>
        <w:jc w:val="both"/>
        <w:rPr>
          <w:rFonts w:ascii="Times New Roman" w:hAnsi="Times New Roman"/>
          <w:sz w:val="24"/>
        </w:rPr>
      </w:pPr>
      <w:r w:rsidRPr="00420EF0">
        <w:rPr>
          <w:rFonts w:ascii="Times New Roman" w:hAnsi="Times New Roman"/>
          <w:sz w:val="24"/>
        </w:rPr>
        <w:t>El corte de la semilla y la plantación fue manual. El trazado de los surcos con tracción animal y arado de vertedera No.2 a una profundidad de 30cm. El tape de la semilla se realizó con 8 cm de espesor. Para garantizar uniformidad en la brotación se aplicaron dos riegos con aspersión con una norma neta de 250 m</w:t>
      </w:r>
      <w:r w:rsidRPr="00420EF0">
        <w:rPr>
          <w:rFonts w:ascii="Times New Roman" w:hAnsi="Times New Roman"/>
          <w:sz w:val="24"/>
          <w:vertAlign w:val="superscript"/>
        </w:rPr>
        <w:t>3</w:t>
      </w:r>
      <w:r w:rsidRPr="00420EF0">
        <w:rPr>
          <w:rFonts w:ascii="Times New Roman" w:hAnsi="Times New Roman"/>
          <w:sz w:val="24"/>
        </w:rPr>
        <w:t>/ha.</w:t>
      </w:r>
    </w:p>
    <w:p w:rsidR="00D837AF" w:rsidRPr="00420EF0" w:rsidRDefault="00D837AF" w:rsidP="00D837AF">
      <w:pPr>
        <w:spacing w:after="0" w:line="360" w:lineRule="auto"/>
        <w:jc w:val="both"/>
        <w:rPr>
          <w:rFonts w:ascii="Times New Roman" w:hAnsi="Times New Roman"/>
          <w:sz w:val="24"/>
        </w:rPr>
      </w:pPr>
      <w:r w:rsidRPr="00420EF0">
        <w:rPr>
          <w:rFonts w:ascii="Times New Roman" w:hAnsi="Times New Roman"/>
          <w:sz w:val="24"/>
        </w:rPr>
        <w:t>Para el análisis de la incidencia de las variables agrometeorológicas se utilizaron los datos procedentes de la estación meteorológica 78348 ubicada en el municipio Caibarién.</w:t>
      </w:r>
      <w:r w:rsidRPr="00420EF0">
        <w:rPr>
          <w:rFonts w:ascii="Times New Roman" w:hAnsi="Times New Roman"/>
        </w:rPr>
        <w:t xml:space="preserve"> </w:t>
      </w:r>
    </w:p>
    <w:p w:rsidR="00D837AF" w:rsidRPr="00420EF0" w:rsidRDefault="00D837AF" w:rsidP="00D837AF">
      <w:pPr>
        <w:spacing w:after="0" w:line="360" w:lineRule="auto"/>
        <w:jc w:val="both"/>
        <w:rPr>
          <w:rFonts w:ascii="Times New Roman" w:hAnsi="Times New Roman"/>
          <w:sz w:val="24"/>
        </w:rPr>
      </w:pPr>
      <w:r w:rsidRPr="00420EF0">
        <w:rPr>
          <w:rFonts w:ascii="Times New Roman" w:hAnsi="Times New Roman"/>
          <w:sz w:val="24"/>
        </w:rPr>
        <w:t xml:space="preserve">Para la evaluación de la brotación y el ahijamiento a los días 30 días de plantada se determinó el promedio de brotes por metro lineal: se muestrearon 30 m lineales por tratamiento. A los 126 días de plantada, después de haber concluido la norma de ahijamiento, se determinó el promedio de tallos por metro lineal, se localizó el punto de origen de cada vástago y se clasificaron en tallo madre, tallos de segundo orden y tallos de tercer orden: se muestrearon 30 m lineales por tratamiento y el total se dividió entre 30. En las parcelas del tratamiento surco de base ancha se consideró la suma de los valores de las dos hileras ya que en el momento de la cosecha se considera como un solo surco. (Pérez, </w:t>
      </w:r>
      <w:r w:rsidRPr="00420EF0">
        <w:rPr>
          <w:rFonts w:ascii="Times New Roman" w:hAnsi="Times New Roman"/>
          <w:i/>
          <w:sz w:val="24"/>
        </w:rPr>
        <w:t xml:space="preserve">et al., </w:t>
      </w:r>
      <w:r w:rsidRPr="00420EF0">
        <w:rPr>
          <w:rFonts w:ascii="Times New Roman" w:hAnsi="Times New Roman"/>
          <w:sz w:val="24"/>
        </w:rPr>
        <w:t>2012).</w:t>
      </w:r>
    </w:p>
    <w:p w:rsidR="00D837AF" w:rsidRPr="00420EF0" w:rsidRDefault="00D837AF" w:rsidP="00D837AF">
      <w:pPr>
        <w:spacing w:after="0" w:line="360" w:lineRule="auto"/>
        <w:jc w:val="both"/>
        <w:rPr>
          <w:rFonts w:ascii="Times New Roman" w:hAnsi="Times New Roman"/>
          <w:sz w:val="24"/>
          <w:szCs w:val="24"/>
        </w:rPr>
      </w:pPr>
      <w:r w:rsidRPr="00420EF0">
        <w:rPr>
          <w:rFonts w:ascii="Times New Roman" w:hAnsi="Times New Roman"/>
          <w:sz w:val="24"/>
          <w:szCs w:val="24"/>
        </w:rPr>
        <w:t xml:space="preserve">A los 126 días después de plantada </w:t>
      </w:r>
      <w:r w:rsidRPr="00420EF0">
        <w:rPr>
          <w:rFonts w:ascii="Times New Roman" w:hAnsi="Times New Roman"/>
          <w:sz w:val="24"/>
        </w:rPr>
        <w:t>se procedió a d</w:t>
      </w:r>
      <w:r w:rsidRPr="00420EF0">
        <w:rPr>
          <w:rFonts w:ascii="Times New Roman" w:eastAsia="Times New Roman" w:hAnsi="Times New Roman"/>
          <w:sz w:val="24"/>
          <w:szCs w:val="24"/>
        </w:rPr>
        <w:t>eterminar el largo y diámetro de la hoja + 1, el número de hojas activas y área foliar por tallo; para el diámetro se</w:t>
      </w:r>
      <w:r w:rsidRPr="00420EF0">
        <w:rPr>
          <w:rFonts w:ascii="Times New Roman" w:hAnsi="Times New Roman"/>
          <w:sz w:val="24"/>
          <w:szCs w:val="24"/>
        </w:rPr>
        <w:t xml:space="preserve"> seleccionó el centro de la hoja doblando el ápice y haciéndolo coincidir con el dewlap o cuello de la hoja. Para determinar el largo se midió desde el dewlap hasta el ápice. Según metodología (Fernández </w:t>
      </w:r>
      <w:r w:rsidRPr="00420EF0">
        <w:rPr>
          <w:rFonts w:ascii="Times New Roman" w:hAnsi="Times New Roman"/>
          <w:i/>
          <w:sz w:val="24"/>
          <w:szCs w:val="24"/>
        </w:rPr>
        <w:t xml:space="preserve">et al., </w:t>
      </w:r>
      <w:r w:rsidRPr="00420EF0">
        <w:rPr>
          <w:rFonts w:ascii="Times New Roman" w:hAnsi="Times New Roman"/>
          <w:sz w:val="24"/>
          <w:szCs w:val="24"/>
        </w:rPr>
        <w:t>1990)</w:t>
      </w:r>
      <w:r w:rsidRPr="00420EF0">
        <w:rPr>
          <w:rFonts w:ascii="Times New Roman" w:hAnsi="Times New Roman"/>
          <w:i/>
          <w:sz w:val="24"/>
          <w:szCs w:val="24"/>
        </w:rPr>
        <w:t xml:space="preserve"> </w:t>
      </w:r>
      <w:r w:rsidRPr="00420EF0">
        <w:rPr>
          <w:rFonts w:ascii="Times New Roman" w:hAnsi="Times New Roman"/>
          <w:sz w:val="24"/>
          <w:szCs w:val="24"/>
        </w:rPr>
        <w:t xml:space="preserve">Se contaron las hojas fisiológicamente activas, según clasificación de </w:t>
      </w:r>
      <w:proofErr w:type="spellStart"/>
      <w:r w:rsidRPr="00420EF0">
        <w:rPr>
          <w:rFonts w:ascii="Times New Roman" w:hAnsi="Times New Roman"/>
          <w:sz w:val="24"/>
          <w:szCs w:val="24"/>
        </w:rPr>
        <w:t>Kuijper</w:t>
      </w:r>
      <w:proofErr w:type="spellEnd"/>
      <w:r w:rsidRPr="00420EF0">
        <w:rPr>
          <w:rFonts w:ascii="Times New Roman" w:hAnsi="Times New Roman"/>
          <w:sz w:val="24"/>
          <w:szCs w:val="24"/>
        </w:rPr>
        <w:t xml:space="preserve">, 1915; citado en </w:t>
      </w:r>
      <w:proofErr w:type="spellStart"/>
      <w:r w:rsidRPr="00420EF0">
        <w:rPr>
          <w:rFonts w:ascii="Times New Roman" w:hAnsi="Times New Roman"/>
          <w:sz w:val="24"/>
          <w:szCs w:val="24"/>
        </w:rPr>
        <w:t>Dillewijn</w:t>
      </w:r>
      <w:proofErr w:type="spellEnd"/>
      <w:r w:rsidRPr="00420EF0">
        <w:rPr>
          <w:rFonts w:ascii="Times New Roman" w:hAnsi="Times New Roman"/>
          <w:sz w:val="24"/>
          <w:szCs w:val="24"/>
        </w:rPr>
        <w:t xml:space="preserve"> (1952), comenzando por la hoja +1 en dirección a la base del tallo y posteriormente hasta las hojas 0, -1, -2, -3, -4 en dirección al ápice del tallo. </w:t>
      </w:r>
    </w:p>
    <w:p w:rsidR="00D837AF" w:rsidRPr="00420EF0" w:rsidRDefault="00D837AF" w:rsidP="00D837AF">
      <w:pPr>
        <w:spacing w:after="0" w:line="360" w:lineRule="auto"/>
        <w:jc w:val="both"/>
        <w:rPr>
          <w:rFonts w:ascii="Times New Roman" w:hAnsi="Times New Roman"/>
          <w:sz w:val="24"/>
          <w:szCs w:val="24"/>
        </w:rPr>
      </w:pPr>
      <w:r w:rsidRPr="00420EF0">
        <w:rPr>
          <w:rFonts w:ascii="Times New Roman" w:hAnsi="Times New Roman"/>
          <w:sz w:val="24"/>
          <w:szCs w:val="24"/>
        </w:rPr>
        <w:t xml:space="preserve">Para la determinación el área foliar se emplearon las siguientes fórmulas: </w:t>
      </w:r>
    </w:p>
    <w:p w:rsidR="00D837AF" w:rsidRPr="00420EF0" w:rsidRDefault="00D837AF" w:rsidP="00D837AF">
      <w:pPr>
        <w:spacing w:after="0" w:line="360" w:lineRule="auto"/>
        <w:jc w:val="both"/>
        <w:rPr>
          <w:rFonts w:ascii="Times New Roman" w:eastAsia="Times New Roman" w:hAnsi="Times New Roman"/>
          <w:sz w:val="24"/>
          <w:szCs w:val="24"/>
        </w:rPr>
      </w:pPr>
      <w:r w:rsidRPr="00420EF0">
        <w:rPr>
          <w:rFonts w:ascii="Times New Roman" w:eastAsia="Times New Roman" w:hAnsi="Times New Roman"/>
          <w:sz w:val="24"/>
          <w:szCs w:val="24"/>
        </w:rPr>
        <w:t xml:space="preserve">Área foliar </w:t>
      </w:r>
      <w:r w:rsidRPr="00420EF0">
        <w:rPr>
          <w:rFonts w:ascii="Times New Roman" w:eastAsia="Times New Roman" w:hAnsi="Times New Roman"/>
          <w:sz w:val="24"/>
          <w:szCs w:val="24"/>
        </w:rPr>
        <w:sym w:font="Symbol" w:char="F03D"/>
      </w:r>
      <w:r w:rsidRPr="00420EF0">
        <w:rPr>
          <w:rFonts w:ascii="Times New Roman" w:eastAsia="Times New Roman" w:hAnsi="Times New Roman"/>
          <w:sz w:val="24"/>
          <w:szCs w:val="24"/>
        </w:rPr>
        <w:t xml:space="preserve"> l · a · f    (para una hoja) </w:t>
      </w:r>
    </w:p>
    <w:p w:rsidR="00D837AF" w:rsidRPr="00420EF0" w:rsidRDefault="00D837AF" w:rsidP="00D837AF">
      <w:pPr>
        <w:spacing w:after="0" w:line="360" w:lineRule="auto"/>
        <w:jc w:val="both"/>
        <w:rPr>
          <w:rFonts w:ascii="Times New Roman" w:eastAsia="Times New Roman" w:hAnsi="Times New Roman"/>
          <w:i/>
          <w:sz w:val="24"/>
          <w:szCs w:val="24"/>
        </w:rPr>
      </w:pPr>
      <w:r w:rsidRPr="00420EF0">
        <w:rPr>
          <w:rFonts w:ascii="Times New Roman" w:eastAsia="Times New Roman" w:hAnsi="Times New Roman"/>
          <w:sz w:val="24"/>
          <w:szCs w:val="24"/>
        </w:rPr>
        <w:t xml:space="preserve">At = </w:t>
      </w:r>
      <w:r w:rsidRPr="00420EF0">
        <w:rPr>
          <w:rFonts w:ascii="Times New Roman" w:eastAsia="Times New Roman" w:hAnsi="Times New Roman"/>
          <w:sz w:val="24"/>
          <w:szCs w:val="24"/>
        </w:rPr>
        <w:sym w:font="Symbol" w:char="F053"/>
      </w:r>
      <w:r w:rsidRPr="00420EF0">
        <w:rPr>
          <w:rFonts w:ascii="Times New Roman" w:eastAsia="Times New Roman" w:hAnsi="Times New Roman"/>
          <w:sz w:val="24"/>
          <w:szCs w:val="24"/>
        </w:rPr>
        <w:t xml:space="preserve">(l · a) f (para las hojas de una planta.) según (Torres </w:t>
      </w:r>
      <w:r w:rsidRPr="00420EF0">
        <w:rPr>
          <w:rFonts w:ascii="Times New Roman" w:eastAsia="Times New Roman" w:hAnsi="Times New Roman"/>
          <w:i/>
          <w:sz w:val="24"/>
          <w:szCs w:val="24"/>
        </w:rPr>
        <w:t>et al., 2002)</w:t>
      </w:r>
    </w:p>
    <w:p w:rsidR="00D837AF" w:rsidRPr="00420EF0" w:rsidRDefault="00D837AF" w:rsidP="00D837AF">
      <w:pPr>
        <w:spacing w:after="0" w:line="360" w:lineRule="auto"/>
        <w:jc w:val="both"/>
        <w:rPr>
          <w:rFonts w:ascii="Times New Roman" w:hAnsi="Times New Roman"/>
          <w:sz w:val="24"/>
          <w:szCs w:val="24"/>
        </w:rPr>
      </w:pPr>
      <w:r w:rsidRPr="00420EF0">
        <w:rPr>
          <w:rFonts w:ascii="Times New Roman" w:eastAsia="Times New Roman" w:hAnsi="Times New Roman"/>
          <w:sz w:val="24"/>
          <w:szCs w:val="24"/>
        </w:rPr>
        <w:t xml:space="preserve">Para la </w:t>
      </w:r>
      <w:r w:rsidRPr="00420EF0">
        <w:rPr>
          <w:rFonts w:ascii="Times New Roman" w:hAnsi="Times New Roman"/>
          <w:bCs/>
          <w:sz w:val="24"/>
          <w:szCs w:val="24"/>
        </w:rPr>
        <w:t>determinación del coeficiente de cada hoja, se empleó l</w:t>
      </w:r>
      <w:r w:rsidRPr="00420EF0">
        <w:rPr>
          <w:rFonts w:ascii="Times New Roman" w:hAnsi="Times New Roman"/>
          <w:sz w:val="24"/>
          <w:szCs w:val="24"/>
        </w:rPr>
        <w:t xml:space="preserve">a siguiente ecuación.                                           </w:t>
      </w:r>
    </w:p>
    <w:p w:rsidR="00D837AF" w:rsidRPr="00420EF0" w:rsidRDefault="00D837AF" w:rsidP="00D837AF">
      <w:pPr>
        <w:spacing w:after="0" w:line="240" w:lineRule="auto"/>
        <w:jc w:val="both"/>
        <w:rPr>
          <w:rFonts w:ascii="Times New Roman" w:hAnsi="Times New Roman"/>
          <w:sz w:val="24"/>
          <w:szCs w:val="24"/>
        </w:rPr>
      </w:pPr>
      <w:r w:rsidRPr="00420EF0">
        <w:rPr>
          <w:rFonts w:ascii="Times New Roman" w:hAnsi="Times New Roman"/>
          <w:sz w:val="24"/>
          <w:szCs w:val="24"/>
        </w:rPr>
        <w:t xml:space="preserve">                                              </w:t>
      </w:r>
    </w:p>
    <w:p w:rsidR="00D837AF" w:rsidRPr="00420EF0" w:rsidRDefault="00D837AF" w:rsidP="00D837AF">
      <w:pPr>
        <w:spacing w:after="0" w:line="240" w:lineRule="atLeast"/>
        <w:jc w:val="both"/>
        <w:rPr>
          <w:rFonts w:ascii="Times New Roman" w:hAnsi="Times New Roman"/>
          <w:sz w:val="24"/>
          <w:szCs w:val="24"/>
        </w:rPr>
      </w:pPr>
      <w:r w:rsidRPr="00420EF0">
        <w:rPr>
          <w:rFonts w:ascii="Times New Roman" w:hAnsi="Times New Roman"/>
          <w:sz w:val="24"/>
          <w:szCs w:val="24"/>
        </w:rPr>
        <w:t xml:space="preserve">                                                           Ah</w:t>
      </w:r>
    </w:p>
    <w:p w:rsidR="00D837AF" w:rsidRPr="00420EF0" w:rsidRDefault="00D837AF" w:rsidP="00D837AF">
      <w:pPr>
        <w:spacing w:after="0" w:line="240" w:lineRule="atLeast"/>
        <w:jc w:val="both"/>
        <w:rPr>
          <w:rFonts w:ascii="Times New Roman" w:hAnsi="Times New Roman"/>
          <w:sz w:val="24"/>
          <w:szCs w:val="24"/>
        </w:rPr>
      </w:pPr>
      <w:r w:rsidRPr="00420EF0">
        <w:rPr>
          <w:rFonts w:ascii="Times New Roman" w:hAnsi="Times New Roman"/>
          <w:sz w:val="24"/>
          <w:szCs w:val="24"/>
        </w:rPr>
        <w:t xml:space="preserve">                                                   f </w:t>
      </w:r>
      <w:r w:rsidRPr="00420EF0">
        <w:rPr>
          <w:rFonts w:ascii="Times New Roman" w:hAnsi="Times New Roman"/>
          <w:sz w:val="24"/>
          <w:szCs w:val="24"/>
        </w:rPr>
        <w:sym w:font="Symbol" w:char="F03D"/>
      </w:r>
      <w:r w:rsidRPr="00420EF0">
        <w:rPr>
          <w:rFonts w:ascii="Times New Roman" w:hAnsi="Times New Roman"/>
          <w:sz w:val="24"/>
          <w:szCs w:val="24"/>
        </w:rPr>
        <w:t xml:space="preserve">  -------</w:t>
      </w:r>
    </w:p>
    <w:p w:rsidR="00D837AF" w:rsidRPr="00420EF0" w:rsidRDefault="00D837AF" w:rsidP="00D837AF">
      <w:pPr>
        <w:spacing w:after="0" w:line="240" w:lineRule="atLeast"/>
        <w:jc w:val="both"/>
        <w:rPr>
          <w:rFonts w:ascii="Times New Roman" w:hAnsi="Times New Roman"/>
          <w:sz w:val="24"/>
          <w:szCs w:val="24"/>
        </w:rPr>
      </w:pPr>
      <w:r w:rsidRPr="00420EF0">
        <w:rPr>
          <w:rFonts w:ascii="Times New Roman" w:hAnsi="Times New Roman"/>
          <w:sz w:val="24"/>
          <w:szCs w:val="24"/>
        </w:rPr>
        <w:t xml:space="preserve">                                                           </w:t>
      </w:r>
      <w:proofErr w:type="gramStart"/>
      <w:r w:rsidRPr="00420EF0">
        <w:rPr>
          <w:rFonts w:ascii="Times New Roman" w:hAnsi="Times New Roman"/>
          <w:sz w:val="24"/>
          <w:szCs w:val="24"/>
        </w:rPr>
        <w:t>l</w:t>
      </w:r>
      <w:proofErr w:type="gramEnd"/>
      <w:r w:rsidRPr="00420EF0">
        <w:rPr>
          <w:rFonts w:ascii="Times New Roman" w:hAnsi="Times New Roman"/>
          <w:sz w:val="24"/>
          <w:szCs w:val="24"/>
        </w:rPr>
        <w:t xml:space="preserve"> · a</w:t>
      </w:r>
    </w:p>
    <w:p w:rsidR="00D837AF" w:rsidRPr="00420EF0" w:rsidRDefault="00D837AF" w:rsidP="00D837AF">
      <w:pPr>
        <w:spacing w:after="0" w:line="360" w:lineRule="auto"/>
        <w:jc w:val="both"/>
        <w:rPr>
          <w:rFonts w:ascii="Times New Roman" w:hAnsi="Times New Roman"/>
          <w:sz w:val="24"/>
          <w:szCs w:val="24"/>
        </w:rPr>
      </w:pPr>
      <w:r w:rsidRPr="00420EF0">
        <w:rPr>
          <w:rFonts w:ascii="Times New Roman" w:hAnsi="Times New Roman"/>
          <w:sz w:val="24"/>
          <w:szCs w:val="24"/>
        </w:rPr>
        <w:t xml:space="preserve">Donde.        </w:t>
      </w:r>
    </w:p>
    <w:p w:rsidR="00D837AF" w:rsidRPr="00420EF0" w:rsidRDefault="00D837AF" w:rsidP="00D837AF">
      <w:pPr>
        <w:spacing w:after="0" w:line="360" w:lineRule="auto"/>
        <w:jc w:val="both"/>
        <w:rPr>
          <w:rFonts w:ascii="Times New Roman" w:hAnsi="Times New Roman"/>
          <w:sz w:val="24"/>
          <w:szCs w:val="24"/>
        </w:rPr>
      </w:pPr>
      <w:r w:rsidRPr="00420EF0">
        <w:rPr>
          <w:rFonts w:ascii="Times New Roman" w:hAnsi="Times New Roman"/>
          <w:sz w:val="24"/>
          <w:szCs w:val="24"/>
        </w:rPr>
        <w:t xml:space="preserve">   </w:t>
      </w:r>
      <w:proofErr w:type="gramStart"/>
      <w:r w:rsidRPr="00420EF0">
        <w:rPr>
          <w:rFonts w:ascii="Times New Roman" w:hAnsi="Times New Roman"/>
          <w:sz w:val="24"/>
          <w:szCs w:val="24"/>
        </w:rPr>
        <w:t xml:space="preserve">Ah </w:t>
      </w:r>
      <w:r w:rsidRPr="00420EF0">
        <w:rPr>
          <w:rFonts w:ascii="Times New Roman" w:hAnsi="Times New Roman"/>
          <w:sz w:val="24"/>
          <w:szCs w:val="24"/>
          <w:vertAlign w:val="subscript"/>
        </w:rPr>
        <w:t>:</w:t>
      </w:r>
      <w:proofErr w:type="gramEnd"/>
      <w:r w:rsidRPr="00420EF0">
        <w:rPr>
          <w:rFonts w:ascii="Times New Roman" w:hAnsi="Times New Roman"/>
          <w:sz w:val="24"/>
          <w:szCs w:val="24"/>
          <w:vertAlign w:val="subscript"/>
        </w:rPr>
        <w:t xml:space="preserve">   </w:t>
      </w:r>
      <w:r w:rsidRPr="00420EF0">
        <w:rPr>
          <w:rFonts w:ascii="Times New Roman" w:hAnsi="Times New Roman"/>
          <w:sz w:val="24"/>
          <w:szCs w:val="24"/>
        </w:rPr>
        <w:t>Área de la hoja</w:t>
      </w:r>
    </w:p>
    <w:p w:rsidR="00D837AF" w:rsidRPr="00420EF0" w:rsidRDefault="00D837AF" w:rsidP="00D837AF">
      <w:pPr>
        <w:spacing w:after="0" w:line="360" w:lineRule="auto"/>
        <w:jc w:val="both"/>
        <w:rPr>
          <w:rFonts w:ascii="Times New Roman" w:hAnsi="Times New Roman"/>
          <w:sz w:val="24"/>
          <w:szCs w:val="24"/>
        </w:rPr>
      </w:pPr>
      <w:r w:rsidRPr="00420EF0">
        <w:rPr>
          <w:rFonts w:ascii="Times New Roman" w:hAnsi="Times New Roman"/>
          <w:sz w:val="24"/>
          <w:szCs w:val="24"/>
        </w:rPr>
        <w:t xml:space="preserve">      </w:t>
      </w:r>
      <w:proofErr w:type="gramStart"/>
      <w:r w:rsidRPr="00420EF0">
        <w:rPr>
          <w:rFonts w:ascii="Times New Roman" w:hAnsi="Times New Roman"/>
          <w:sz w:val="24"/>
          <w:szCs w:val="24"/>
        </w:rPr>
        <w:t>l</w:t>
      </w:r>
      <w:proofErr w:type="gramEnd"/>
      <w:r w:rsidRPr="00420EF0">
        <w:rPr>
          <w:rFonts w:ascii="Times New Roman" w:hAnsi="Times New Roman"/>
          <w:sz w:val="24"/>
          <w:szCs w:val="24"/>
        </w:rPr>
        <w:t xml:space="preserve">  : Largo del limbo de la hoja</w:t>
      </w:r>
    </w:p>
    <w:p w:rsidR="00D837AF" w:rsidRPr="00420EF0" w:rsidRDefault="00D837AF" w:rsidP="00D837AF">
      <w:pPr>
        <w:spacing w:after="0" w:line="360" w:lineRule="auto"/>
        <w:jc w:val="both"/>
        <w:rPr>
          <w:rFonts w:ascii="Times New Roman" w:hAnsi="Times New Roman"/>
          <w:sz w:val="24"/>
          <w:szCs w:val="24"/>
        </w:rPr>
      </w:pPr>
      <w:r w:rsidRPr="00420EF0">
        <w:rPr>
          <w:rFonts w:ascii="Times New Roman" w:hAnsi="Times New Roman"/>
          <w:sz w:val="24"/>
          <w:szCs w:val="24"/>
        </w:rPr>
        <w:t xml:space="preserve">     </w:t>
      </w:r>
      <w:proofErr w:type="gramStart"/>
      <w:r w:rsidRPr="00420EF0">
        <w:rPr>
          <w:rFonts w:ascii="Times New Roman" w:hAnsi="Times New Roman"/>
          <w:sz w:val="24"/>
          <w:szCs w:val="24"/>
        </w:rPr>
        <w:t>a</w:t>
      </w:r>
      <w:proofErr w:type="gramEnd"/>
      <w:r w:rsidRPr="00420EF0">
        <w:rPr>
          <w:rFonts w:ascii="Times New Roman" w:hAnsi="Times New Roman"/>
          <w:sz w:val="24"/>
          <w:szCs w:val="24"/>
        </w:rPr>
        <w:t xml:space="preserve">  : Ancho del limbo de la hoja en la zona más ancha ( centro del limbo)</w:t>
      </w:r>
    </w:p>
    <w:p w:rsidR="00D837AF" w:rsidRPr="00420EF0" w:rsidRDefault="00D837AF" w:rsidP="00D837AF">
      <w:pPr>
        <w:spacing w:after="0" w:line="360" w:lineRule="auto"/>
        <w:jc w:val="both"/>
        <w:rPr>
          <w:rFonts w:ascii="Times New Roman" w:hAnsi="Times New Roman"/>
          <w:sz w:val="24"/>
          <w:szCs w:val="24"/>
        </w:rPr>
      </w:pPr>
      <w:r w:rsidRPr="00420EF0">
        <w:rPr>
          <w:rFonts w:ascii="Times New Roman" w:hAnsi="Times New Roman"/>
          <w:sz w:val="24"/>
          <w:szCs w:val="24"/>
        </w:rPr>
        <w:t xml:space="preserve">     </w:t>
      </w:r>
      <w:proofErr w:type="gramStart"/>
      <w:r w:rsidRPr="00420EF0">
        <w:rPr>
          <w:rFonts w:ascii="Times New Roman" w:hAnsi="Times New Roman"/>
          <w:sz w:val="24"/>
          <w:szCs w:val="24"/>
        </w:rPr>
        <w:t>f</w:t>
      </w:r>
      <w:proofErr w:type="gramEnd"/>
      <w:r w:rsidRPr="00420EF0">
        <w:rPr>
          <w:rFonts w:ascii="Times New Roman" w:hAnsi="Times New Roman"/>
          <w:sz w:val="24"/>
          <w:szCs w:val="24"/>
        </w:rPr>
        <w:t xml:space="preserve">  : Coeficiente de área foliar</w:t>
      </w:r>
      <w:r>
        <w:rPr>
          <w:rFonts w:ascii="Times New Roman" w:hAnsi="Times New Roman"/>
          <w:sz w:val="24"/>
          <w:szCs w:val="24"/>
        </w:rPr>
        <w:t xml:space="preserve"> para este cultivo</w:t>
      </w:r>
      <w:r w:rsidRPr="00420EF0">
        <w:rPr>
          <w:rFonts w:ascii="Times New Roman" w:hAnsi="Times New Roman"/>
          <w:sz w:val="24"/>
          <w:szCs w:val="24"/>
        </w:rPr>
        <w:t xml:space="preserve"> (factor)</w:t>
      </w:r>
    </w:p>
    <w:p w:rsidR="00D837AF" w:rsidRPr="00420EF0" w:rsidRDefault="00D837AF" w:rsidP="00D837AF">
      <w:pPr>
        <w:spacing w:after="0" w:line="360" w:lineRule="auto"/>
        <w:jc w:val="both"/>
        <w:rPr>
          <w:rFonts w:ascii="Times New Roman" w:hAnsi="Times New Roman"/>
          <w:sz w:val="24"/>
        </w:rPr>
      </w:pPr>
      <w:r w:rsidRPr="00420EF0">
        <w:rPr>
          <w:rFonts w:ascii="Times New Roman" w:hAnsi="Times New Roman"/>
          <w:sz w:val="24"/>
        </w:rPr>
        <w:t xml:space="preserve">A los 146 y 259 días de plantada a partir del primer dewlap visible, se realizó un conteo iniciando por el entrenudo + 1 hasta el entrenudo de la base del tallo en la superficie del suelo. En dirección basípetal se midió el largo de los entrenudos con una regla milimetrada en cm desde la cicatriz foliar del nudo superior con relación al nudo inferior correspondiente al entrenudo + 4. Para el </w:t>
      </w:r>
      <w:r w:rsidRPr="00420EF0">
        <w:rPr>
          <w:rFonts w:ascii="Times New Roman" w:eastAsia="Times New Roman" w:hAnsi="Times New Roman"/>
          <w:sz w:val="24"/>
          <w:szCs w:val="24"/>
        </w:rPr>
        <w:t>diámetro</w:t>
      </w:r>
      <w:r w:rsidRPr="00420EF0">
        <w:rPr>
          <w:rFonts w:ascii="Times New Roman" w:hAnsi="Times New Roman"/>
          <w:sz w:val="24"/>
        </w:rPr>
        <w:t xml:space="preserve"> de los entrenudos se seleccionó el entrenudo +4 tomando como referencia el centro del mismo, se determinó el </w:t>
      </w:r>
      <w:r w:rsidRPr="00420EF0">
        <w:rPr>
          <w:rFonts w:ascii="Times New Roman" w:eastAsia="Times New Roman" w:hAnsi="Times New Roman"/>
          <w:sz w:val="24"/>
          <w:szCs w:val="24"/>
        </w:rPr>
        <w:t>diámetro</w:t>
      </w:r>
      <w:r w:rsidRPr="00420EF0">
        <w:rPr>
          <w:rFonts w:ascii="Times New Roman" w:hAnsi="Times New Roman"/>
          <w:sz w:val="24"/>
        </w:rPr>
        <w:t xml:space="preserve"> en cm con un pie de rey (</w:t>
      </w:r>
      <w:proofErr w:type="spellStart"/>
      <w:r w:rsidRPr="00420EF0">
        <w:rPr>
          <w:rFonts w:ascii="Times New Roman" w:hAnsi="Times New Roman"/>
          <w:sz w:val="24"/>
        </w:rPr>
        <w:t>Kuijper</w:t>
      </w:r>
      <w:proofErr w:type="spellEnd"/>
      <w:r w:rsidRPr="00420EF0">
        <w:rPr>
          <w:rFonts w:ascii="Times New Roman" w:hAnsi="Times New Roman"/>
          <w:sz w:val="24"/>
        </w:rPr>
        <w:t xml:space="preserve">, 1915; citado en </w:t>
      </w:r>
      <w:proofErr w:type="spellStart"/>
      <w:r w:rsidRPr="00420EF0">
        <w:rPr>
          <w:rFonts w:ascii="Times New Roman" w:hAnsi="Times New Roman"/>
          <w:sz w:val="24"/>
        </w:rPr>
        <w:t>Dillewijn</w:t>
      </w:r>
      <w:proofErr w:type="spellEnd"/>
      <w:r w:rsidRPr="00420EF0">
        <w:rPr>
          <w:rFonts w:ascii="Times New Roman" w:hAnsi="Times New Roman"/>
          <w:sz w:val="24"/>
        </w:rPr>
        <w:t>, 1952).</w:t>
      </w:r>
    </w:p>
    <w:p w:rsidR="00D837AF" w:rsidRPr="00420EF0" w:rsidRDefault="00D837AF" w:rsidP="00D837AF">
      <w:pPr>
        <w:spacing w:after="0" w:line="360" w:lineRule="auto"/>
        <w:jc w:val="both"/>
        <w:rPr>
          <w:rFonts w:ascii="Times New Roman" w:hAnsi="Times New Roman"/>
          <w:bCs/>
          <w:sz w:val="24"/>
        </w:rPr>
      </w:pPr>
      <w:r w:rsidRPr="00420EF0">
        <w:rPr>
          <w:rFonts w:ascii="Times New Roman" w:hAnsi="Times New Roman"/>
          <w:bCs/>
          <w:sz w:val="24"/>
        </w:rPr>
        <w:t>Se tomó como referencia el entrenudo +4 ya que se caracteriza por lograr alcanzar su máximo crecimiento, aunque mantenga la hoja adherida y verde, no crecerá más. Por lo cual es el entrenudo más adecuado para realizar mediciones del crecimiento</w:t>
      </w:r>
    </w:p>
    <w:p w:rsidR="00D837AF" w:rsidRPr="00420EF0" w:rsidRDefault="00D837AF" w:rsidP="00D837AF">
      <w:pPr>
        <w:spacing w:after="0" w:line="360" w:lineRule="auto"/>
        <w:jc w:val="both"/>
        <w:rPr>
          <w:rFonts w:ascii="Times New Roman" w:eastAsia="Times New Roman" w:hAnsi="Times New Roman"/>
          <w:iCs/>
        </w:rPr>
      </w:pPr>
      <w:r w:rsidRPr="00420EF0">
        <w:rPr>
          <w:rFonts w:ascii="Times New Roman" w:hAnsi="Times New Roman"/>
          <w:sz w:val="24"/>
        </w:rPr>
        <w:t xml:space="preserve">A los 340 días se realizó el cálculo del índice de madurez donde se empleó la siguiente fórmula </w:t>
      </w:r>
      <m:oMath>
        <m:r>
          <w:rPr>
            <w:rFonts w:ascii="Cambria Math" w:hAnsi="Cambria Math"/>
            <w:sz w:val="24"/>
          </w:rPr>
          <m:t>Índice de madurez=</m:t>
        </m:r>
        <m:f>
          <m:fPr>
            <m:ctrlPr>
              <w:rPr>
                <w:rFonts w:ascii="Cambria Math" w:hAnsi="Cambria Math"/>
                <w:i/>
                <w:iCs/>
                <w:sz w:val="24"/>
              </w:rPr>
            </m:ctrlPr>
          </m:fPr>
          <m:num>
            <m:r>
              <w:rPr>
                <w:rFonts w:ascii="Cambria Math" w:hAnsi="Cambria Math"/>
                <w:sz w:val="24"/>
              </w:rPr>
              <m:t>Brix Superior</m:t>
            </m:r>
          </m:num>
          <m:den>
            <m:r>
              <w:rPr>
                <w:rFonts w:ascii="Cambria Math" w:hAnsi="Cambria Math"/>
                <w:sz w:val="24"/>
              </w:rPr>
              <m:t>Brix Inferior</m:t>
            </m:r>
          </m:den>
        </m:f>
        <m:r>
          <w:rPr>
            <w:rFonts w:ascii="Cambria Math" w:hAnsi="Cambria Math"/>
            <w:sz w:val="24"/>
          </w:rPr>
          <m:t xml:space="preserve"> </m:t>
        </m:r>
      </m:oMath>
      <w:r w:rsidRPr="00420EF0">
        <w:rPr>
          <w:rFonts w:ascii="Times New Roman" w:eastAsia="Times New Roman" w:hAnsi="Times New Roman"/>
          <w:iCs/>
        </w:rPr>
        <w:t xml:space="preserve">  </w:t>
      </w:r>
    </w:p>
    <w:p w:rsidR="00D837AF" w:rsidRPr="00420EF0" w:rsidRDefault="00D837AF" w:rsidP="00D837AF">
      <w:pPr>
        <w:spacing w:after="0" w:line="360" w:lineRule="auto"/>
        <w:jc w:val="both"/>
        <w:rPr>
          <w:rFonts w:ascii="Times New Roman" w:eastAsia="Times New Roman" w:hAnsi="Times New Roman"/>
          <w:iCs/>
          <w:sz w:val="24"/>
        </w:rPr>
      </w:pPr>
      <w:r w:rsidRPr="00420EF0">
        <w:rPr>
          <w:rFonts w:ascii="Times New Roman" w:eastAsia="Times New Roman" w:hAnsi="Times New Roman"/>
          <w:iCs/>
          <w:sz w:val="24"/>
        </w:rPr>
        <w:t xml:space="preserve">Donde: </w:t>
      </w:r>
    </w:p>
    <w:p w:rsidR="00D837AF" w:rsidRPr="00420EF0" w:rsidRDefault="00D837AF" w:rsidP="00D837AF">
      <w:pPr>
        <w:spacing w:after="0" w:line="360" w:lineRule="auto"/>
        <w:jc w:val="both"/>
        <w:rPr>
          <w:rFonts w:ascii="Times New Roman" w:eastAsia="Times New Roman" w:hAnsi="Times New Roman"/>
          <w:iCs/>
          <w:sz w:val="24"/>
        </w:rPr>
      </w:pPr>
      <w:r w:rsidRPr="00420EF0">
        <w:rPr>
          <w:rFonts w:ascii="Times New Roman" w:eastAsia="Times New Roman" w:hAnsi="Times New Roman"/>
          <w:iCs/>
          <w:sz w:val="24"/>
        </w:rPr>
        <w:t>Brix superior: se determina en el entrenudo +7.</w:t>
      </w:r>
    </w:p>
    <w:p w:rsidR="00D837AF" w:rsidRPr="00420EF0" w:rsidRDefault="00D837AF" w:rsidP="00D837AF">
      <w:pPr>
        <w:spacing w:after="0" w:line="360" w:lineRule="auto"/>
        <w:jc w:val="both"/>
        <w:rPr>
          <w:rFonts w:ascii="Times New Roman" w:eastAsia="Times New Roman" w:hAnsi="Times New Roman"/>
          <w:iCs/>
          <w:sz w:val="24"/>
          <w:szCs w:val="24"/>
        </w:rPr>
      </w:pPr>
      <w:r w:rsidRPr="00420EF0">
        <w:rPr>
          <w:rFonts w:ascii="Times New Roman" w:eastAsia="Times New Roman" w:hAnsi="Times New Roman"/>
          <w:iCs/>
          <w:sz w:val="24"/>
        </w:rPr>
        <w:t xml:space="preserve">Brix superior: se determina en el entrenudo que se encuentra en la base del tallo (entrenudo basal), </w:t>
      </w:r>
      <w:r w:rsidRPr="00420EF0">
        <w:rPr>
          <w:rFonts w:ascii="Times New Roman" w:eastAsia="Times New Roman" w:hAnsi="Times New Roman"/>
          <w:iCs/>
          <w:sz w:val="24"/>
          <w:szCs w:val="24"/>
        </w:rPr>
        <w:t xml:space="preserve">según metodología de </w:t>
      </w:r>
      <w:r w:rsidRPr="00420EF0">
        <w:rPr>
          <w:rFonts w:ascii="Times New Roman" w:hAnsi="Times New Roman"/>
          <w:sz w:val="24"/>
          <w:szCs w:val="24"/>
        </w:rPr>
        <w:t xml:space="preserve">Pérez </w:t>
      </w:r>
      <w:r w:rsidRPr="00420EF0">
        <w:rPr>
          <w:rFonts w:ascii="Times New Roman" w:eastAsia="Times New Roman" w:hAnsi="Times New Roman"/>
          <w:i/>
          <w:sz w:val="24"/>
          <w:szCs w:val="24"/>
        </w:rPr>
        <w:t xml:space="preserve">et al., </w:t>
      </w:r>
      <w:r w:rsidRPr="00420EF0">
        <w:rPr>
          <w:rFonts w:ascii="Times New Roman" w:hAnsi="Times New Roman"/>
          <w:sz w:val="24"/>
          <w:szCs w:val="24"/>
        </w:rPr>
        <w:t>2012.</w:t>
      </w:r>
    </w:p>
    <w:p w:rsidR="00D837AF" w:rsidRPr="00420EF0" w:rsidRDefault="00D837AF" w:rsidP="00D837AF">
      <w:pPr>
        <w:spacing w:after="0" w:line="360" w:lineRule="auto"/>
        <w:jc w:val="both"/>
        <w:rPr>
          <w:rFonts w:ascii="Times New Roman" w:hAnsi="Times New Roman"/>
        </w:rPr>
      </w:pPr>
      <w:r w:rsidRPr="00420EF0">
        <w:rPr>
          <w:rFonts w:ascii="Times New Roman" w:eastAsia="Times New Roman" w:hAnsi="Times New Roman"/>
          <w:iCs/>
          <w:sz w:val="24"/>
          <w:szCs w:val="24"/>
        </w:rPr>
        <w:t>Los sólidos solubles totales (SST)</w:t>
      </w:r>
      <w:r w:rsidRPr="00420EF0">
        <w:rPr>
          <w:rFonts w:ascii="Times New Roman" w:hAnsi="Times New Roman"/>
        </w:rPr>
        <w:t xml:space="preserve"> </w:t>
      </w:r>
      <w:r w:rsidRPr="00420EF0">
        <w:rPr>
          <w:rFonts w:ascii="Times New Roman" w:eastAsia="Times New Roman" w:hAnsi="Times New Roman"/>
          <w:iCs/>
          <w:sz w:val="24"/>
          <w:szCs w:val="24"/>
        </w:rPr>
        <w:t>presentes en el jugo, expresados como porcentaje, se midieron en el campo, en la misma plantación, utilizando un refractómetro manual (</w:t>
      </w:r>
      <w:proofErr w:type="spellStart"/>
      <w:r w:rsidRPr="00420EF0">
        <w:rPr>
          <w:rFonts w:ascii="Times New Roman" w:eastAsia="Times New Roman" w:hAnsi="Times New Roman"/>
          <w:iCs/>
          <w:sz w:val="24"/>
          <w:szCs w:val="24"/>
        </w:rPr>
        <w:t>Atago</w:t>
      </w:r>
      <w:proofErr w:type="spellEnd"/>
      <w:r w:rsidRPr="00420EF0">
        <w:rPr>
          <w:rFonts w:ascii="Times New Roman" w:eastAsia="Times New Roman" w:hAnsi="Times New Roman"/>
          <w:iCs/>
          <w:sz w:val="24"/>
          <w:szCs w:val="24"/>
        </w:rPr>
        <w:t xml:space="preserve"> PR-101α®, Tokio, Japón) (de 0 a 32 %). Para esto se perforaron varias plantas y se colectó su jugo para formar una muestra compuesta que fue analizada. </w:t>
      </w:r>
    </w:p>
    <w:p w:rsidR="00D837AF" w:rsidRPr="00420EF0" w:rsidRDefault="00D837AF" w:rsidP="00D837AF">
      <w:pPr>
        <w:spacing w:after="0" w:line="360" w:lineRule="auto"/>
        <w:jc w:val="both"/>
        <w:rPr>
          <w:rFonts w:ascii="Times New Roman" w:hAnsi="Times New Roman"/>
          <w:bCs/>
          <w:sz w:val="24"/>
        </w:rPr>
      </w:pPr>
      <w:r w:rsidRPr="00420EF0">
        <w:rPr>
          <w:rFonts w:ascii="Times New Roman" w:hAnsi="Times New Roman"/>
          <w:bCs/>
          <w:sz w:val="24"/>
        </w:rPr>
        <w:t>Para determinar el estimado de rendimiento agrícola a los 340 días se contó el número de tallos en 10 metros lineales en el surco del centro de cada parcela. Se tomó al azar el promedio de tallos por cada tratamiento estudiado y se pesaron con una balanza con gancho marca SPB 22 de procedencia alemana con un peso máximo de 23 Kg; los datos se expresaron en kilogramos.</w:t>
      </w:r>
    </w:p>
    <w:p w:rsidR="00D837AF" w:rsidRPr="00420EF0" w:rsidRDefault="00D837AF" w:rsidP="00D837AF">
      <w:pPr>
        <w:spacing w:after="0" w:line="360" w:lineRule="auto"/>
        <w:jc w:val="both"/>
        <w:rPr>
          <w:rFonts w:ascii="Times New Roman" w:hAnsi="Times New Roman"/>
          <w:sz w:val="24"/>
        </w:rPr>
      </w:pPr>
      <w:r w:rsidRPr="00420EF0">
        <w:rPr>
          <w:rFonts w:ascii="Times New Roman" w:hAnsi="Times New Roman"/>
          <w:sz w:val="24"/>
        </w:rPr>
        <w:t xml:space="preserve">Para el procesamiento estadístico de los resultados se aplicaron análisis de varianza (ANOVA), en correspondencia con el esquema de campo utilizado, comprobándose el cumplimiento de los supuestos básicos para el análisis de la varianza, en particular la homogeneidad de la misma. Se aplicó la prueba LSD de Fischer para p ≤ 0,05 para las comparaciones de medias, empleándose el paquete </w:t>
      </w:r>
      <w:proofErr w:type="spellStart"/>
      <w:r w:rsidRPr="00420EF0">
        <w:rPr>
          <w:rFonts w:ascii="Times New Roman" w:hAnsi="Times New Roman"/>
          <w:sz w:val="24"/>
        </w:rPr>
        <w:t>Statgraphics</w:t>
      </w:r>
      <w:proofErr w:type="spellEnd"/>
      <w:r w:rsidRPr="00420EF0">
        <w:rPr>
          <w:rFonts w:ascii="Times New Roman" w:hAnsi="Times New Roman"/>
          <w:sz w:val="24"/>
        </w:rPr>
        <w:t xml:space="preserve"> Plus 5.1 (2000).</w:t>
      </w:r>
    </w:p>
    <w:p w:rsidR="00D837AF" w:rsidRPr="00420EF0" w:rsidRDefault="00D837AF" w:rsidP="00D837AF">
      <w:pPr>
        <w:spacing w:after="0" w:line="360" w:lineRule="auto"/>
        <w:jc w:val="both"/>
        <w:rPr>
          <w:rFonts w:ascii="Times New Roman" w:hAnsi="Times New Roman"/>
          <w:b/>
          <w:sz w:val="24"/>
          <w:szCs w:val="24"/>
        </w:rPr>
      </w:pPr>
      <w:r w:rsidRPr="00420EF0">
        <w:rPr>
          <w:rFonts w:ascii="Times New Roman" w:hAnsi="Times New Roman"/>
          <w:b/>
          <w:sz w:val="24"/>
          <w:szCs w:val="24"/>
        </w:rPr>
        <w:t>RESULTADOS Y DISCUSIÓN</w:t>
      </w:r>
    </w:p>
    <w:p w:rsidR="00D837AF" w:rsidRPr="00420EF0" w:rsidRDefault="00D837AF" w:rsidP="00D837AF">
      <w:pPr>
        <w:spacing w:after="0" w:line="360" w:lineRule="auto"/>
        <w:jc w:val="both"/>
        <w:rPr>
          <w:rFonts w:ascii="Times New Roman" w:hAnsi="Times New Roman"/>
          <w:sz w:val="24"/>
        </w:rPr>
      </w:pPr>
      <w:r w:rsidRPr="00420EF0">
        <w:rPr>
          <w:rFonts w:ascii="Times New Roman" w:hAnsi="Times New Roman"/>
          <w:sz w:val="24"/>
        </w:rPr>
        <w:t xml:space="preserve">A los 30 días de plantada el tratamiento base ancha contaba con un promedio de 7,1 brotes por metro lineal (Tabla 1) promedio que es muy superior a la norma exigida, de acuerdo con (Fernández </w:t>
      </w:r>
      <w:r w:rsidRPr="00420EF0">
        <w:rPr>
          <w:rFonts w:ascii="Times New Roman" w:hAnsi="Times New Roman"/>
          <w:i/>
          <w:sz w:val="24"/>
        </w:rPr>
        <w:t>et al.,</w:t>
      </w:r>
      <w:r w:rsidRPr="00420EF0">
        <w:rPr>
          <w:rFonts w:ascii="Times New Roman" w:hAnsi="Times New Roman"/>
          <w:sz w:val="24"/>
        </w:rPr>
        <w:t xml:space="preserve"> 1990) un brote cada 0,50 m es suficiente para que el cierre del campo sea adecuado; este resultado está dado por el tratamiento hidrotérmico de la semilla antes de ser plantada a 53 </w:t>
      </w:r>
      <w:proofErr w:type="spellStart"/>
      <w:r w:rsidRPr="00420EF0">
        <w:rPr>
          <w:rFonts w:ascii="Times New Roman" w:hAnsi="Times New Roman"/>
          <w:sz w:val="24"/>
          <w:vertAlign w:val="superscript"/>
        </w:rPr>
        <w:t>o</w:t>
      </w:r>
      <w:r w:rsidRPr="00420EF0">
        <w:rPr>
          <w:rFonts w:ascii="Times New Roman" w:hAnsi="Times New Roman"/>
          <w:sz w:val="24"/>
        </w:rPr>
        <w:t>C</w:t>
      </w:r>
      <w:proofErr w:type="spellEnd"/>
      <w:r w:rsidRPr="00420EF0">
        <w:rPr>
          <w:rFonts w:ascii="Times New Roman" w:hAnsi="Times New Roman"/>
          <w:sz w:val="24"/>
        </w:rPr>
        <w:t xml:space="preserve"> durante 20 minutos con lo cual se logra eliminar el efecto del gradiente de brotación, posibilitando que todas las yemas puedan emerger en igualdad de condiciones. </w:t>
      </w:r>
    </w:p>
    <w:p w:rsidR="00D837AF" w:rsidRPr="00420EF0" w:rsidRDefault="00D837AF" w:rsidP="00D837AF">
      <w:pPr>
        <w:spacing w:after="0" w:line="240" w:lineRule="atLeast"/>
        <w:jc w:val="center"/>
        <w:rPr>
          <w:rFonts w:ascii="Times New Roman" w:hAnsi="Times New Roman"/>
        </w:rPr>
      </w:pPr>
      <w:r w:rsidRPr="00420EF0">
        <w:rPr>
          <w:rFonts w:ascii="Times New Roman" w:hAnsi="Times New Roman"/>
        </w:rPr>
        <w:t>Tabla 1. Promedio de tallos y ahijamiento por metro lineal a los 30 y 126ddp</w:t>
      </w:r>
    </w:p>
    <w:tbl>
      <w:tblPr>
        <w:tblW w:w="0" w:type="auto"/>
        <w:jc w:val="center"/>
        <w:tblBorders>
          <w:top w:val="single" w:sz="4" w:space="0" w:color="7F7F7F"/>
          <w:bottom w:val="single" w:sz="4" w:space="0" w:color="7F7F7F"/>
        </w:tblBorders>
        <w:tblLayout w:type="fixed"/>
        <w:tblLook w:val="04A0" w:firstRow="1" w:lastRow="0" w:firstColumn="1" w:lastColumn="0" w:noHBand="0" w:noVBand="1"/>
      </w:tblPr>
      <w:tblGrid>
        <w:gridCol w:w="2376"/>
        <w:gridCol w:w="2268"/>
        <w:gridCol w:w="2694"/>
      </w:tblGrid>
      <w:tr w:rsidR="00D837AF" w:rsidRPr="00420EF0" w:rsidTr="00F852F2">
        <w:trPr>
          <w:jc w:val="center"/>
        </w:trPr>
        <w:tc>
          <w:tcPr>
            <w:tcW w:w="2376" w:type="dxa"/>
            <w:tcBorders>
              <w:bottom w:val="single" w:sz="4" w:space="0" w:color="7F7F7F"/>
            </w:tcBorders>
            <w:shd w:val="clear" w:color="auto" w:fill="auto"/>
          </w:tcPr>
          <w:p w:rsidR="00D837AF" w:rsidRPr="00420EF0" w:rsidRDefault="00D837AF" w:rsidP="00F852F2">
            <w:pPr>
              <w:widowControl w:val="0"/>
              <w:autoSpaceDE w:val="0"/>
              <w:autoSpaceDN w:val="0"/>
              <w:adjustRightInd w:val="0"/>
              <w:spacing w:after="0" w:line="360" w:lineRule="auto"/>
              <w:jc w:val="center"/>
              <w:rPr>
                <w:rFonts w:ascii="Times New Roman" w:eastAsia="Times New Roman" w:hAnsi="Times New Roman"/>
                <w:bCs/>
                <w:color w:val="000000"/>
                <w:sz w:val="24"/>
                <w:szCs w:val="18"/>
              </w:rPr>
            </w:pPr>
            <w:r w:rsidRPr="00420EF0">
              <w:rPr>
                <w:rFonts w:ascii="Times New Roman" w:eastAsia="Times New Roman" w:hAnsi="Times New Roman"/>
                <w:bCs/>
                <w:color w:val="000000"/>
                <w:sz w:val="24"/>
                <w:szCs w:val="18"/>
              </w:rPr>
              <w:t>Tratamientos (Marco de plantación)</w:t>
            </w:r>
          </w:p>
        </w:tc>
        <w:tc>
          <w:tcPr>
            <w:tcW w:w="2268" w:type="dxa"/>
            <w:tcBorders>
              <w:bottom w:val="single" w:sz="4" w:space="0" w:color="7F7F7F"/>
            </w:tcBorders>
            <w:shd w:val="clear" w:color="auto" w:fill="auto"/>
          </w:tcPr>
          <w:p w:rsidR="00D837AF" w:rsidRPr="00420EF0" w:rsidRDefault="00D837AF" w:rsidP="00F852F2">
            <w:pPr>
              <w:widowControl w:val="0"/>
              <w:autoSpaceDE w:val="0"/>
              <w:autoSpaceDN w:val="0"/>
              <w:adjustRightInd w:val="0"/>
              <w:spacing w:after="0" w:line="360" w:lineRule="auto"/>
              <w:jc w:val="center"/>
              <w:rPr>
                <w:rFonts w:ascii="Times New Roman" w:eastAsia="Times New Roman" w:hAnsi="Times New Roman"/>
                <w:bCs/>
                <w:color w:val="000000"/>
                <w:sz w:val="24"/>
                <w:szCs w:val="18"/>
              </w:rPr>
            </w:pPr>
            <w:r w:rsidRPr="00420EF0">
              <w:rPr>
                <w:rFonts w:ascii="Times New Roman" w:eastAsia="Times New Roman" w:hAnsi="Times New Roman"/>
                <w:bCs/>
                <w:color w:val="000000"/>
                <w:sz w:val="24"/>
                <w:szCs w:val="18"/>
              </w:rPr>
              <w:t>Promedio de brotes por metro lineal 30 ddp</w:t>
            </w:r>
          </w:p>
        </w:tc>
        <w:tc>
          <w:tcPr>
            <w:tcW w:w="2694" w:type="dxa"/>
            <w:tcBorders>
              <w:bottom w:val="single" w:sz="4" w:space="0" w:color="7F7F7F"/>
            </w:tcBorders>
            <w:shd w:val="clear" w:color="auto" w:fill="auto"/>
          </w:tcPr>
          <w:p w:rsidR="00D837AF" w:rsidRPr="00420EF0" w:rsidRDefault="00D837AF" w:rsidP="00F852F2">
            <w:pPr>
              <w:widowControl w:val="0"/>
              <w:autoSpaceDE w:val="0"/>
              <w:autoSpaceDN w:val="0"/>
              <w:adjustRightInd w:val="0"/>
              <w:spacing w:after="0" w:line="360" w:lineRule="auto"/>
              <w:jc w:val="center"/>
              <w:rPr>
                <w:rFonts w:ascii="Times New Roman" w:eastAsia="Times New Roman" w:hAnsi="Times New Roman"/>
                <w:bCs/>
                <w:color w:val="000000"/>
                <w:sz w:val="24"/>
                <w:szCs w:val="18"/>
              </w:rPr>
            </w:pPr>
            <w:r w:rsidRPr="00420EF0">
              <w:rPr>
                <w:rFonts w:ascii="Times New Roman" w:eastAsia="Times New Roman" w:hAnsi="Times New Roman"/>
                <w:bCs/>
                <w:color w:val="000000"/>
                <w:sz w:val="24"/>
                <w:szCs w:val="18"/>
              </w:rPr>
              <w:t>Promedio de ahijamiento por metro lineal 126ddp</w:t>
            </w:r>
          </w:p>
        </w:tc>
      </w:tr>
      <w:tr w:rsidR="00D837AF" w:rsidRPr="00420EF0" w:rsidTr="00F852F2">
        <w:trPr>
          <w:jc w:val="center"/>
        </w:trPr>
        <w:tc>
          <w:tcPr>
            <w:tcW w:w="2376"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360" w:lineRule="auto"/>
              <w:jc w:val="center"/>
              <w:rPr>
                <w:rFonts w:ascii="Times New Roman" w:eastAsia="Times New Roman" w:hAnsi="Times New Roman"/>
                <w:bCs/>
                <w:sz w:val="24"/>
                <w:szCs w:val="18"/>
              </w:rPr>
            </w:pPr>
            <w:r w:rsidRPr="00420EF0">
              <w:rPr>
                <w:rFonts w:ascii="Times New Roman" w:eastAsia="Times New Roman" w:hAnsi="Times New Roman"/>
                <w:bCs/>
                <w:sz w:val="24"/>
                <w:szCs w:val="18"/>
              </w:rPr>
              <w:t>1,60m</w:t>
            </w:r>
          </w:p>
        </w:tc>
        <w:tc>
          <w:tcPr>
            <w:tcW w:w="2268"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360" w:lineRule="auto"/>
              <w:jc w:val="center"/>
              <w:rPr>
                <w:rFonts w:ascii="Times New Roman" w:eastAsia="Times New Roman" w:hAnsi="Times New Roman"/>
                <w:sz w:val="24"/>
                <w:szCs w:val="18"/>
              </w:rPr>
            </w:pPr>
            <w:r w:rsidRPr="00420EF0">
              <w:rPr>
                <w:rFonts w:ascii="Times New Roman" w:eastAsia="Times New Roman" w:hAnsi="Times New Roman"/>
                <w:sz w:val="24"/>
                <w:szCs w:val="18"/>
              </w:rPr>
              <w:t>3,8b</w:t>
            </w:r>
          </w:p>
        </w:tc>
        <w:tc>
          <w:tcPr>
            <w:tcW w:w="2694"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360" w:lineRule="auto"/>
              <w:jc w:val="center"/>
              <w:rPr>
                <w:rFonts w:ascii="Times New Roman" w:eastAsia="Times New Roman" w:hAnsi="Times New Roman"/>
                <w:sz w:val="24"/>
                <w:szCs w:val="18"/>
              </w:rPr>
            </w:pPr>
            <w:r w:rsidRPr="00420EF0">
              <w:rPr>
                <w:rFonts w:ascii="Times New Roman" w:eastAsia="Times New Roman" w:hAnsi="Times New Roman"/>
                <w:sz w:val="24"/>
                <w:szCs w:val="18"/>
              </w:rPr>
              <w:t>29,3b</w:t>
            </w:r>
          </w:p>
        </w:tc>
      </w:tr>
      <w:tr w:rsidR="00D837AF" w:rsidRPr="00420EF0" w:rsidTr="00F852F2">
        <w:trPr>
          <w:jc w:val="center"/>
        </w:trPr>
        <w:tc>
          <w:tcPr>
            <w:tcW w:w="2376" w:type="dxa"/>
            <w:shd w:val="clear" w:color="auto" w:fill="auto"/>
          </w:tcPr>
          <w:p w:rsidR="00D837AF" w:rsidRPr="00420EF0" w:rsidRDefault="00D837AF" w:rsidP="00F852F2">
            <w:pPr>
              <w:widowControl w:val="0"/>
              <w:autoSpaceDE w:val="0"/>
              <w:autoSpaceDN w:val="0"/>
              <w:adjustRightInd w:val="0"/>
              <w:spacing w:after="0" w:line="360" w:lineRule="auto"/>
              <w:jc w:val="center"/>
              <w:rPr>
                <w:rFonts w:ascii="Times New Roman" w:eastAsia="Times New Roman" w:hAnsi="Times New Roman"/>
                <w:bCs/>
                <w:sz w:val="24"/>
                <w:szCs w:val="18"/>
              </w:rPr>
            </w:pPr>
            <w:r w:rsidRPr="00420EF0">
              <w:rPr>
                <w:rFonts w:ascii="Times New Roman" w:eastAsia="Times New Roman" w:hAnsi="Times New Roman"/>
                <w:bCs/>
                <w:sz w:val="24"/>
                <w:szCs w:val="18"/>
              </w:rPr>
              <w:t>1,40m</w:t>
            </w:r>
          </w:p>
        </w:tc>
        <w:tc>
          <w:tcPr>
            <w:tcW w:w="2268" w:type="dxa"/>
            <w:shd w:val="clear" w:color="auto" w:fill="auto"/>
          </w:tcPr>
          <w:p w:rsidR="00D837AF" w:rsidRPr="00420EF0" w:rsidRDefault="00D837AF" w:rsidP="00F852F2">
            <w:pPr>
              <w:widowControl w:val="0"/>
              <w:autoSpaceDE w:val="0"/>
              <w:autoSpaceDN w:val="0"/>
              <w:adjustRightInd w:val="0"/>
              <w:spacing w:after="0" w:line="360" w:lineRule="auto"/>
              <w:jc w:val="center"/>
              <w:rPr>
                <w:rFonts w:ascii="Times New Roman" w:eastAsia="Times New Roman" w:hAnsi="Times New Roman"/>
                <w:sz w:val="24"/>
                <w:szCs w:val="18"/>
              </w:rPr>
            </w:pPr>
            <w:r w:rsidRPr="00420EF0">
              <w:rPr>
                <w:rFonts w:ascii="Times New Roman" w:eastAsia="Times New Roman" w:hAnsi="Times New Roman"/>
                <w:sz w:val="24"/>
                <w:szCs w:val="18"/>
              </w:rPr>
              <w:t>3,6b</w:t>
            </w:r>
          </w:p>
        </w:tc>
        <w:tc>
          <w:tcPr>
            <w:tcW w:w="2694" w:type="dxa"/>
            <w:shd w:val="clear" w:color="auto" w:fill="auto"/>
          </w:tcPr>
          <w:p w:rsidR="00D837AF" w:rsidRPr="00420EF0" w:rsidRDefault="00D837AF" w:rsidP="00F852F2">
            <w:pPr>
              <w:widowControl w:val="0"/>
              <w:autoSpaceDE w:val="0"/>
              <w:autoSpaceDN w:val="0"/>
              <w:adjustRightInd w:val="0"/>
              <w:spacing w:after="0" w:line="360" w:lineRule="auto"/>
              <w:jc w:val="center"/>
              <w:rPr>
                <w:rFonts w:ascii="Times New Roman" w:eastAsia="Times New Roman" w:hAnsi="Times New Roman"/>
                <w:sz w:val="24"/>
                <w:szCs w:val="18"/>
              </w:rPr>
            </w:pPr>
            <w:r w:rsidRPr="00420EF0">
              <w:rPr>
                <w:rFonts w:ascii="Times New Roman" w:eastAsia="Times New Roman" w:hAnsi="Times New Roman"/>
                <w:sz w:val="24"/>
                <w:szCs w:val="18"/>
              </w:rPr>
              <w:t>27,6b</w:t>
            </w:r>
          </w:p>
        </w:tc>
      </w:tr>
      <w:tr w:rsidR="00D837AF" w:rsidRPr="00420EF0" w:rsidTr="00F852F2">
        <w:trPr>
          <w:jc w:val="center"/>
        </w:trPr>
        <w:tc>
          <w:tcPr>
            <w:tcW w:w="2376"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360" w:lineRule="auto"/>
              <w:jc w:val="center"/>
              <w:rPr>
                <w:rFonts w:ascii="Times New Roman" w:eastAsia="Times New Roman" w:hAnsi="Times New Roman"/>
                <w:bCs/>
                <w:sz w:val="24"/>
                <w:szCs w:val="18"/>
              </w:rPr>
            </w:pPr>
            <w:r w:rsidRPr="00420EF0">
              <w:rPr>
                <w:rFonts w:ascii="Times New Roman" w:eastAsia="Times New Roman" w:hAnsi="Times New Roman"/>
                <w:bCs/>
                <w:sz w:val="24"/>
                <w:szCs w:val="18"/>
              </w:rPr>
              <w:t>Base ancha</w:t>
            </w:r>
          </w:p>
        </w:tc>
        <w:tc>
          <w:tcPr>
            <w:tcW w:w="2268"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360" w:lineRule="auto"/>
              <w:jc w:val="center"/>
              <w:rPr>
                <w:rFonts w:ascii="Times New Roman" w:eastAsia="Times New Roman" w:hAnsi="Times New Roman"/>
                <w:sz w:val="24"/>
                <w:szCs w:val="18"/>
              </w:rPr>
            </w:pPr>
            <w:r w:rsidRPr="00420EF0">
              <w:rPr>
                <w:rFonts w:ascii="Times New Roman" w:eastAsia="Times New Roman" w:hAnsi="Times New Roman"/>
                <w:sz w:val="24"/>
                <w:szCs w:val="18"/>
              </w:rPr>
              <w:t>7,1a</w:t>
            </w:r>
          </w:p>
        </w:tc>
        <w:tc>
          <w:tcPr>
            <w:tcW w:w="2694"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360" w:lineRule="auto"/>
              <w:jc w:val="center"/>
              <w:rPr>
                <w:rFonts w:ascii="Times New Roman" w:eastAsia="Times New Roman" w:hAnsi="Times New Roman"/>
                <w:sz w:val="24"/>
                <w:szCs w:val="18"/>
              </w:rPr>
            </w:pPr>
            <w:r w:rsidRPr="00420EF0">
              <w:rPr>
                <w:rFonts w:ascii="Times New Roman" w:eastAsia="Times New Roman" w:hAnsi="Times New Roman"/>
                <w:sz w:val="24"/>
                <w:szCs w:val="18"/>
              </w:rPr>
              <w:t>43,9a</w:t>
            </w:r>
          </w:p>
        </w:tc>
      </w:tr>
      <w:tr w:rsidR="00D837AF" w:rsidRPr="00420EF0" w:rsidTr="00F852F2">
        <w:trPr>
          <w:jc w:val="center"/>
        </w:trPr>
        <w:tc>
          <w:tcPr>
            <w:tcW w:w="2376" w:type="dxa"/>
            <w:shd w:val="clear" w:color="auto" w:fill="auto"/>
          </w:tcPr>
          <w:p w:rsidR="00D837AF" w:rsidRPr="00420EF0" w:rsidRDefault="00D837AF" w:rsidP="00F852F2">
            <w:pPr>
              <w:spacing w:after="0" w:line="360" w:lineRule="auto"/>
              <w:jc w:val="center"/>
              <w:rPr>
                <w:rFonts w:ascii="Times New Roman" w:eastAsia="Times New Roman" w:hAnsi="Times New Roman"/>
                <w:bCs/>
                <w:sz w:val="24"/>
              </w:rPr>
            </w:pPr>
            <w:r w:rsidRPr="00420EF0">
              <w:rPr>
                <w:rFonts w:ascii="Times New Roman" w:eastAsia="Times New Roman" w:hAnsi="Times New Roman"/>
                <w:bCs/>
                <w:color w:val="000000"/>
                <w:sz w:val="24"/>
                <w:szCs w:val="18"/>
              </w:rPr>
              <w:t>EE</w:t>
            </w:r>
            <m:oMath>
              <m:acc>
                <m:accPr>
                  <m:chr m:val="̅"/>
                  <m:ctrlPr>
                    <w:rPr>
                      <w:rFonts w:ascii="Cambria Math" w:eastAsia="Times New Roman" w:hAnsi="Cambria Math"/>
                      <w:i/>
                      <w:sz w:val="24"/>
                    </w:rPr>
                  </m:ctrlPr>
                </m:accPr>
                <m:e>
                  <m:r>
                    <w:rPr>
                      <w:rFonts w:ascii="Cambria Math" w:hAnsi="Cambria Math"/>
                      <w:sz w:val="24"/>
                    </w:rPr>
                    <m:t>X</m:t>
                  </m:r>
                </m:e>
              </m:acc>
            </m:oMath>
            <w:r w:rsidRPr="00420EF0">
              <w:rPr>
                <w:rFonts w:ascii="Times New Roman" w:eastAsia="Times New Roman" w:hAnsi="Times New Roman"/>
                <w:bCs/>
                <w:sz w:val="24"/>
              </w:rPr>
              <w:t xml:space="preserve"> ±</w:t>
            </w:r>
          </w:p>
        </w:tc>
        <w:tc>
          <w:tcPr>
            <w:tcW w:w="2268" w:type="dxa"/>
            <w:shd w:val="clear" w:color="auto" w:fill="auto"/>
          </w:tcPr>
          <w:p w:rsidR="00D837AF" w:rsidRPr="00420EF0" w:rsidRDefault="00D837AF" w:rsidP="00F852F2">
            <w:pPr>
              <w:widowControl w:val="0"/>
              <w:autoSpaceDE w:val="0"/>
              <w:autoSpaceDN w:val="0"/>
              <w:adjustRightInd w:val="0"/>
              <w:spacing w:after="0" w:line="360" w:lineRule="auto"/>
              <w:jc w:val="center"/>
              <w:rPr>
                <w:rFonts w:ascii="Times New Roman" w:eastAsia="Times New Roman" w:hAnsi="Times New Roman"/>
                <w:color w:val="000000"/>
                <w:sz w:val="24"/>
                <w:szCs w:val="18"/>
              </w:rPr>
            </w:pPr>
            <w:r w:rsidRPr="00420EF0">
              <w:rPr>
                <w:rFonts w:ascii="Times New Roman" w:eastAsia="Times New Roman" w:hAnsi="Times New Roman"/>
                <w:color w:val="000000"/>
                <w:sz w:val="24"/>
                <w:szCs w:val="18"/>
              </w:rPr>
              <w:t>0,27</w:t>
            </w:r>
          </w:p>
        </w:tc>
        <w:tc>
          <w:tcPr>
            <w:tcW w:w="2694" w:type="dxa"/>
            <w:shd w:val="clear" w:color="auto" w:fill="auto"/>
          </w:tcPr>
          <w:p w:rsidR="00D837AF" w:rsidRPr="00420EF0" w:rsidRDefault="00D837AF" w:rsidP="00F852F2">
            <w:pPr>
              <w:widowControl w:val="0"/>
              <w:autoSpaceDE w:val="0"/>
              <w:autoSpaceDN w:val="0"/>
              <w:adjustRightInd w:val="0"/>
              <w:spacing w:after="0" w:line="360" w:lineRule="auto"/>
              <w:jc w:val="center"/>
              <w:rPr>
                <w:rFonts w:ascii="Times New Roman" w:eastAsia="Times New Roman" w:hAnsi="Times New Roman"/>
                <w:color w:val="000000"/>
                <w:sz w:val="24"/>
                <w:szCs w:val="18"/>
              </w:rPr>
            </w:pPr>
            <w:r w:rsidRPr="00420EF0">
              <w:rPr>
                <w:rFonts w:ascii="Times New Roman" w:eastAsia="Times New Roman" w:hAnsi="Times New Roman"/>
                <w:color w:val="000000"/>
                <w:sz w:val="24"/>
                <w:szCs w:val="18"/>
              </w:rPr>
              <w:t>0,75</w:t>
            </w:r>
          </w:p>
        </w:tc>
      </w:tr>
    </w:tbl>
    <w:p w:rsidR="00D837AF" w:rsidRPr="00420EF0" w:rsidRDefault="00D837AF" w:rsidP="00D837AF">
      <w:pPr>
        <w:widowControl w:val="0"/>
        <w:autoSpaceDE w:val="0"/>
        <w:autoSpaceDN w:val="0"/>
        <w:adjustRightInd w:val="0"/>
        <w:spacing w:after="0" w:line="240" w:lineRule="atLeast"/>
        <w:jc w:val="both"/>
        <w:rPr>
          <w:rFonts w:ascii="Times New Roman" w:hAnsi="Times New Roman"/>
          <w:color w:val="000000"/>
          <w:szCs w:val="18"/>
        </w:rPr>
      </w:pPr>
      <w:r w:rsidRPr="00420EF0">
        <w:rPr>
          <w:rFonts w:ascii="Times New Roman" w:hAnsi="Times New Roman"/>
          <w:color w:val="000000"/>
          <w:sz w:val="18"/>
          <w:szCs w:val="18"/>
        </w:rPr>
        <w:t>(</w:t>
      </w:r>
      <w:proofErr w:type="gramStart"/>
      <w:r w:rsidRPr="00420EF0">
        <w:rPr>
          <w:rFonts w:ascii="Times New Roman" w:hAnsi="Times New Roman"/>
          <w:color w:val="000000"/>
          <w:szCs w:val="18"/>
        </w:rPr>
        <w:t>a</w:t>
      </w:r>
      <w:proofErr w:type="gramEnd"/>
      <w:r w:rsidRPr="00420EF0">
        <w:rPr>
          <w:rFonts w:ascii="Times New Roman" w:hAnsi="Times New Roman"/>
          <w:color w:val="000000"/>
          <w:szCs w:val="18"/>
        </w:rPr>
        <w:t>, b, c) medias con letras no comunes en una misma columna difieren por LSD para</w:t>
      </w:r>
    </w:p>
    <w:p w:rsidR="00D837AF" w:rsidRPr="00420EF0" w:rsidRDefault="00D837AF" w:rsidP="00D837AF">
      <w:pPr>
        <w:widowControl w:val="0"/>
        <w:autoSpaceDE w:val="0"/>
        <w:autoSpaceDN w:val="0"/>
        <w:adjustRightInd w:val="0"/>
        <w:spacing w:after="0" w:line="240" w:lineRule="atLeast"/>
        <w:jc w:val="both"/>
        <w:rPr>
          <w:rFonts w:ascii="Times New Roman" w:hAnsi="Times New Roman"/>
          <w:color w:val="000000"/>
          <w:szCs w:val="18"/>
        </w:rPr>
      </w:pPr>
      <w:r w:rsidRPr="00420EF0">
        <w:rPr>
          <w:rFonts w:ascii="Times New Roman" w:hAnsi="Times New Roman"/>
          <w:color w:val="000000"/>
          <w:szCs w:val="18"/>
        </w:rPr>
        <w:t xml:space="preserve">p ≤ 0,05 </w:t>
      </w:r>
    </w:p>
    <w:p w:rsidR="00D837AF" w:rsidRPr="00420EF0" w:rsidRDefault="00D837AF" w:rsidP="00D837AF">
      <w:pPr>
        <w:spacing w:after="0" w:line="360" w:lineRule="auto"/>
        <w:jc w:val="both"/>
        <w:rPr>
          <w:rFonts w:ascii="Times New Roman" w:hAnsi="Times New Roman"/>
        </w:rPr>
      </w:pPr>
      <w:proofErr w:type="gramStart"/>
      <w:r w:rsidRPr="00420EF0">
        <w:rPr>
          <w:rFonts w:ascii="Times New Roman" w:hAnsi="Times New Roman"/>
        </w:rPr>
        <w:t>ddp</w:t>
      </w:r>
      <w:proofErr w:type="gramEnd"/>
      <w:r w:rsidRPr="00420EF0">
        <w:rPr>
          <w:rFonts w:ascii="Times New Roman" w:hAnsi="Times New Roman"/>
        </w:rPr>
        <w:t xml:space="preserve">: días después de plantada </w:t>
      </w:r>
    </w:p>
    <w:p w:rsidR="00D837AF" w:rsidRPr="00420EF0" w:rsidRDefault="00D837AF" w:rsidP="00D837AF">
      <w:pPr>
        <w:spacing w:after="0" w:line="360" w:lineRule="auto"/>
        <w:jc w:val="both"/>
        <w:rPr>
          <w:rFonts w:ascii="Times New Roman" w:hAnsi="Times New Roman"/>
          <w:sz w:val="24"/>
          <w:szCs w:val="24"/>
        </w:rPr>
      </w:pPr>
      <w:r w:rsidRPr="00420EF0">
        <w:rPr>
          <w:rFonts w:ascii="Times New Roman" w:hAnsi="Times New Roman"/>
          <w:sz w:val="24"/>
          <w:szCs w:val="24"/>
        </w:rPr>
        <w:t>El ahijamiento se incrementa por m</w:t>
      </w:r>
      <w:r w:rsidRPr="00420EF0">
        <w:rPr>
          <w:rFonts w:ascii="Times New Roman" w:hAnsi="Times New Roman"/>
          <w:sz w:val="24"/>
          <w:szCs w:val="24"/>
          <w:vertAlign w:val="superscript"/>
        </w:rPr>
        <w:t>2</w:t>
      </w:r>
      <w:r w:rsidRPr="00420EF0">
        <w:rPr>
          <w:rFonts w:ascii="Times New Roman" w:hAnsi="Times New Roman"/>
          <w:sz w:val="24"/>
          <w:szCs w:val="24"/>
        </w:rPr>
        <w:t xml:space="preserve"> porque hay más brotes y tallos primarios por unidad de área, pero el coeficiente en realidad es menor (por brote o tallo primario). O sea, la caña ahíja menos en el marco de plantación base ancha, mecanismo de autocompensación, pero como tiene más tallos primarios por m</w:t>
      </w:r>
      <w:r w:rsidRPr="00420EF0">
        <w:rPr>
          <w:rFonts w:ascii="Times New Roman" w:hAnsi="Times New Roman"/>
          <w:sz w:val="24"/>
          <w:szCs w:val="24"/>
          <w:vertAlign w:val="superscript"/>
        </w:rPr>
        <w:t>2</w:t>
      </w:r>
      <w:r w:rsidRPr="00420EF0">
        <w:rPr>
          <w:rFonts w:ascii="Times New Roman" w:hAnsi="Times New Roman"/>
          <w:sz w:val="24"/>
          <w:szCs w:val="24"/>
        </w:rPr>
        <w:t xml:space="preserve"> la suma total de tallos secundarios, terciarios, es mayor que el marco tradicional de 1,60 m y el marco de plantación 1,40 m.</w:t>
      </w:r>
    </w:p>
    <w:p w:rsidR="00D837AF" w:rsidRPr="00420EF0" w:rsidRDefault="00D837AF" w:rsidP="00D837AF">
      <w:pPr>
        <w:spacing w:after="0" w:line="360" w:lineRule="auto"/>
        <w:jc w:val="both"/>
        <w:rPr>
          <w:rFonts w:ascii="Times New Roman" w:hAnsi="Times New Roman"/>
          <w:sz w:val="24"/>
        </w:rPr>
      </w:pPr>
      <w:r w:rsidRPr="00420EF0">
        <w:rPr>
          <w:rFonts w:ascii="Times New Roman" w:hAnsi="Times New Roman"/>
          <w:sz w:val="24"/>
        </w:rPr>
        <w:t xml:space="preserve">En el indicador </w:t>
      </w:r>
      <w:r w:rsidRPr="00420EF0">
        <w:rPr>
          <w:rFonts w:ascii="Times New Roman" w:eastAsia="Times New Roman" w:hAnsi="Times New Roman"/>
          <w:sz w:val="24"/>
          <w:szCs w:val="24"/>
        </w:rPr>
        <w:t>diámetro</w:t>
      </w:r>
      <w:r w:rsidRPr="00420EF0">
        <w:rPr>
          <w:rFonts w:ascii="Times New Roman" w:hAnsi="Times New Roman"/>
          <w:sz w:val="24"/>
        </w:rPr>
        <w:t xml:space="preserve"> de la hoja</w:t>
      </w:r>
      <w:r w:rsidRPr="00420EF0">
        <w:rPr>
          <w:rFonts w:ascii="Times New Roman" w:hAnsi="Times New Roman"/>
          <w:b/>
          <w:sz w:val="24"/>
        </w:rPr>
        <w:t xml:space="preserve"> </w:t>
      </w:r>
      <w:r w:rsidRPr="00420EF0">
        <w:rPr>
          <w:rFonts w:ascii="Times New Roman" w:hAnsi="Times New Roman"/>
          <w:sz w:val="24"/>
        </w:rPr>
        <w:t>+1</w:t>
      </w:r>
      <w:r w:rsidRPr="00420EF0">
        <w:rPr>
          <w:rFonts w:ascii="Times New Roman" w:hAnsi="Times New Roman"/>
          <w:b/>
          <w:sz w:val="24"/>
        </w:rPr>
        <w:t xml:space="preserve"> </w:t>
      </w:r>
      <w:r w:rsidRPr="00420EF0">
        <w:rPr>
          <w:rFonts w:ascii="Times New Roman" w:hAnsi="Times New Roman"/>
          <w:sz w:val="24"/>
        </w:rPr>
        <w:t xml:space="preserve">no se encontraron diferencias significativas entre los tratamientos. El largo de la hoja se va reduciendo proporcionalmente con la disminución de la distancia entre surcos (Tabla 2), lo cual indica efectos de la competencia intraespecífica por la luz. </w:t>
      </w:r>
    </w:p>
    <w:p w:rsidR="00D837AF" w:rsidRPr="00420EF0" w:rsidRDefault="00D837AF" w:rsidP="00D837AF">
      <w:pPr>
        <w:spacing w:after="0" w:line="360" w:lineRule="auto"/>
        <w:jc w:val="both"/>
        <w:rPr>
          <w:rFonts w:ascii="Times New Roman" w:hAnsi="Times New Roman"/>
          <w:sz w:val="24"/>
        </w:rPr>
      </w:pPr>
      <w:r w:rsidRPr="00420EF0">
        <w:rPr>
          <w:rFonts w:ascii="Times New Roman" w:hAnsi="Times New Roman"/>
          <w:sz w:val="24"/>
        </w:rPr>
        <w:t>Las evaluaciones realizadas al número de hojas activas por planta en cada uno de los tratamientos a los 126 días después de plantada no difiere significativamente, no obstante, la variante surco de base ancha mostró un mayor incremento en el promedio del número de hojas lo que muestra un mayor ritmo en el crecimiento en el marco de plantación surco de base ancha, diferencias éstas importantes para la producción fotosintética en esta etapa en la cual comienza el gran período de crecimiento y la formación de fitómeros del tallo por encima del suelo.</w:t>
      </w:r>
    </w:p>
    <w:p w:rsidR="00D837AF" w:rsidRPr="00420EF0" w:rsidRDefault="00D837AF" w:rsidP="00D837AF">
      <w:pPr>
        <w:spacing w:after="0" w:line="240" w:lineRule="atLeast"/>
        <w:jc w:val="center"/>
        <w:rPr>
          <w:rFonts w:ascii="Times New Roman" w:hAnsi="Times New Roman"/>
        </w:rPr>
      </w:pPr>
      <w:r w:rsidRPr="00420EF0">
        <w:rPr>
          <w:rFonts w:ascii="Times New Roman" w:hAnsi="Times New Roman"/>
        </w:rPr>
        <w:t>Tabla 2. D</w:t>
      </w:r>
      <w:r w:rsidRPr="00420EF0">
        <w:rPr>
          <w:rFonts w:ascii="Times New Roman" w:eastAsia="Times New Roman" w:hAnsi="Times New Roman"/>
        </w:rPr>
        <w:t>iámetro</w:t>
      </w:r>
      <w:r w:rsidRPr="00420EF0">
        <w:rPr>
          <w:rFonts w:ascii="Times New Roman" w:hAnsi="Times New Roman"/>
        </w:rPr>
        <w:t>, largo y número de hojas activas de C90-469 a los 126 ddp</w:t>
      </w:r>
    </w:p>
    <w:tbl>
      <w:tblPr>
        <w:tblW w:w="7083" w:type="dxa"/>
        <w:jc w:val="center"/>
        <w:tblBorders>
          <w:top w:val="single" w:sz="4" w:space="0" w:color="7F7F7F"/>
          <w:bottom w:val="single" w:sz="4" w:space="0" w:color="7F7F7F"/>
        </w:tblBorders>
        <w:tblLook w:val="04A0" w:firstRow="1" w:lastRow="0" w:firstColumn="1" w:lastColumn="0" w:noHBand="0" w:noVBand="1"/>
      </w:tblPr>
      <w:tblGrid>
        <w:gridCol w:w="2122"/>
        <w:gridCol w:w="1559"/>
        <w:gridCol w:w="1559"/>
        <w:gridCol w:w="1843"/>
      </w:tblGrid>
      <w:tr w:rsidR="00D837AF" w:rsidRPr="00420EF0" w:rsidTr="00F852F2">
        <w:trPr>
          <w:jc w:val="center"/>
        </w:trPr>
        <w:tc>
          <w:tcPr>
            <w:tcW w:w="2122" w:type="dxa"/>
            <w:tcBorders>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bCs/>
                <w:color w:val="000000"/>
                <w:sz w:val="24"/>
                <w:szCs w:val="24"/>
              </w:rPr>
            </w:pPr>
            <w:r w:rsidRPr="00420EF0">
              <w:rPr>
                <w:rFonts w:ascii="Times New Roman" w:eastAsia="Times New Roman" w:hAnsi="Times New Roman"/>
                <w:bCs/>
                <w:color w:val="000000"/>
                <w:sz w:val="24"/>
                <w:szCs w:val="24"/>
              </w:rPr>
              <w:t>Tratamientos (Marco de plantación)</w:t>
            </w:r>
          </w:p>
        </w:tc>
        <w:tc>
          <w:tcPr>
            <w:tcW w:w="1559" w:type="dxa"/>
            <w:tcBorders>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bCs/>
                <w:color w:val="000000"/>
                <w:sz w:val="24"/>
                <w:szCs w:val="24"/>
              </w:rPr>
            </w:pPr>
            <w:r w:rsidRPr="00420EF0">
              <w:rPr>
                <w:rFonts w:ascii="Times New Roman" w:eastAsia="Times New Roman" w:hAnsi="Times New Roman"/>
                <w:bCs/>
                <w:color w:val="000000"/>
                <w:sz w:val="24"/>
                <w:szCs w:val="24"/>
              </w:rPr>
              <w:t>Diámetro o de la hoja (cm)</w:t>
            </w:r>
          </w:p>
        </w:tc>
        <w:tc>
          <w:tcPr>
            <w:tcW w:w="1559" w:type="dxa"/>
            <w:tcBorders>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bCs/>
                <w:color w:val="000000"/>
                <w:sz w:val="24"/>
                <w:szCs w:val="24"/>
              </w:rPr>
            </w:pPr>
            <w:r w:rsidRPr="00420EF0">
              <w:rPr>
                <w:rFonts w:ascii="Times New Roman" w:eastAsia="Times New Roman" w:hAnsi="Times New Roman"/>
                <w:bCs/>
                <w:color w:val="000000"/>
                <w:sz w:val="24"/>
                <w:szCs w:val="24"/>
              </w:rPr>
              <w:t>Largo de la hoja (cm)</w:t>
            </w:r>
          </w:p>
        </w:tc>
        <w:tc>
          <w:tcPr>
            <w:tcW w:w="1843" w:type="dxa"/>
            <w:tcBorders>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bCs/>
                <w:color w:val="000000"/>
                <w:sz w:val="24"/>
                <w:szCs w:val="24"/>
              </w:rPr>
            </w:pPr>
            <w:r w:rsidRPr="00420EF0">
              <w:rPr>
                <w:rFonts w:ascii="Times New Roman" w:eastAsia="Times New Roman" w:hAnsi="Times New Roman"/>
                <w:bCs/>
                <w:color w:val="000000"/>
                <w:sz w:val="24"/>
                <w:szCs w:val="24"/>
              </w:rPr>
              <w:t>Número de hojas activas por tallo</w:t>
            </w:r>
          </w:p>
        </w:tc>
      </w:tr>
      <w:tr w:rsidR="00D837AF" w:rsidRPr="00420EF0" w:rsidTr="00F852F2">
        <w:trPr>
          <w:jc w:val="center"/>
        </w:trPr>
        <w:tc>
          <w:tcPr>
            <w:tcW w:w="2122"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bCs/>
                <w:sz w:val="24"/>
                <w:szCs w:val="24"/>
              </w:rPr>
            </w:pPr>
            <w:r w:rsidRPr="00420EF0">
              <w:rPr>
                <w:rFonts w:ascii="Times New Roman" w:eastAsia="Times New Roman" w:hAnsi="Times New Roman"/>
                <w:bCs/>
                <w:sz w:val="24"/>
                <w:szCs w:val="24"/>
              </w:rPr>
              <w:t>1,40m</w:t>
            </w:r>
          </w:p>
        </w:tc>
        <w:tc>
          <w:tcPr>
            <w:tcW w:w="1559"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sz w:val="24"/>
                <w:szCs w:val="24"/>
              </w:rPr>
            </w:pPr>
            <w:r w:rsidRPr="00420EF0">
              <w:rPr>
                <w:rFonts w:ascii="Times New Roman" w:eastAsia="Times New Roman" w:hAnsi="Times New Roman"/>
                <w:sz w:val="24"/>
                <w:szCs w:val="24"/>
              </w:rPr>
              <w:t>3,1b</w:t>
            </w:r>
          </w:p>
        </w:tc>
        <w:tc>
          <w:tcPr>
            <w:tcW w:w="1559"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sz w:val="24"/>
                <w:szCs w:val="24"/>
              </w:rPr>
            </w:pPr>
            <w:r w:rsidRPr="00420EF0">
              <w:rPr>
                <w:rFonts w:ascii="Times New Roman" w:eastAsia="Times New Roman" w:hAnsi="Times New Roman"/>
                <w:sz w:val="24"/>
                <w:szCs w:val="24"/>
              </w:rPr>
              <w:t>131,4b</w:t>
            </w:r>
          </w:p>
        </w:tc>
        <w:tc>
          <w:tcPr>
            <w:tcW w:w="1843"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sz w:val="24"/>
                <w:szCs w:val="24"/>
              </w:rPr>
            </w:pPr>
            <w:r w:rsidRPr="00420EF0">
              <w:rPr>
                <w:rFonts w:ascii="Times New Roman" w:eastAsia="Times New Roman" w:hAnsi="Times New Roman"/>
                <w:sz w:val="24"/>
                <w:szCs w:val="24"/>
              </w:rPr>
              <w:t>8a</w:t>
            </w:r>
          </w:p>
        </w:tc>
      </w:tr>
      <w:tr w:rsidR="00D837AF" w:rsidRPr="00420EF0" w:rsidTr="00F852F2">
        <w:trPr>
          <w:jc w:val="center"/>
        </w:trPr>
        <w:tc>
          <w:tcPr>
            <w:tcW w:w="2122" w:type="dxa"/>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bCs/>
                <w:sz w:val="24"/>
                <w:szCs w:val="24"/>
              </w:rPr>
            </w:pPr>
            <w:r w:rsidRPr="00420EF0">
              <w:rPr>
                <w:rFonts w:ascii="Times New Roman" w:eastAsia="Times New Roman" w:hAnsi="Times New Roman"/>
                <w:bCs/>
                <w:sz w:val="24"/>
                <w:szCs w:val="24"/>
              </w:rPr>
              <w:t>Base ancha</w:t>
            </w:r>
          </w:p>
        </w:tc>
        <w:tc>
          <w:tcPr>
            <w:tcW w:w="1559" w:type="dxa"/>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sz w:val="24"/>
                <w:szCs w:val="24"/>
              </w:rPr>
            </w:pPr>
            <w:r w:rsidRPr="00420EF0">
              <w:rPr>
                <w:rFonts w:ascii="Times New Roman" w:eastAsia="Times New Roman" w:hAnsi="Times New Roman"/>
                <w:sz w:val="24"/>
                <w:szCs w:val="24"/>
              </w:rPr>
              <w:t>3,2ab</w:t>
            </w:r>
          </w:p>
        </w:tc>
        <w:tc>
          <w:tcPr>
            <w:tcW w:w="1559" w:type="dxa"/>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sz w:val="24"/>
                <w:szCs w:val="24"/>
              </w:rPr>
            </w:pPr>
            <w:r w:rsidRPr="00420EF0">
              <w:rPr>
                <w:rFonts w:ascii="Times New Roman" w:eastAsia="Times New Roman" w:hAnsi="Times New Roman"/>
                <w:sz w:val="24"/>
                <w:szCs w:val="24"/>
              </w:rPr>
              <w:t>140,6a</w:t>
            </w:r>
          </w:p>
        </w:tc>
        <w:tc>
          <w:tcPr>
            <w:tcW w:w="1843" w:type="dxa"/>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sz w:val="24"/>
                <w:szCs w:val="24"/>
              </w:rPr>
            </w:pPr>
            <w:r w:rsidRPr="00420EF0">
              <w:rPr>
                <w:rFonts w:ascii="Times New Roman" w:eastAsia="Times New Roman" w:hAnsi="Times New Roman"/>
                <w:sz w:val="24"/>
                <w:szCs w:val="24"/>
              </w:rPr>
              <w:t>9a</w:t>
            </w:r>
          </w:p>
        </w:tc>
      </w:tr>
      <w:tr w:rsidR="00D837AF" w:rsidRPr="00420EF0" w:rsidTr="00F852F2">
        <w:trPr>
          <w:jc w:val="center"/>
        </w:trPr>
        <w:tc>
          <w:tcPr>
            <w:tcW w:w="2122"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bCs/>
                <w:sz w:val="24"/>
                <w:szCs w:val="24"/>
              </w:rPr>
            </w:pPr>
            <w:r w:rsidRPr="00420EF0">
              <w:rPr>
                <w:rFonts w:ascii="Times New Roman" w:eastAsia="Times New Roman" w:hAnsi="Times New Roman"/>
                <w:bCs/>
                <w:sz w:val="24"/>
                <w:szCs w:val="24"/>
              </w:rPr>
              <w:t>1,60m</w:t>
            </w:r>
          </w:p>
        </w:tc>
        <w:tc>
          <w:tcPr>
            <w:tcW w:w="1559"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sz w:val="24"/>
                <w:szCs w:val="24"/>
              </w:rPr>
            </w:pPr>
            <w:r w:rsidRPr="00420EF0">
              <w:rPr>
                <w:rFonts w:ascii="Times New Roman" w:eastAsia="Times New Roman" w:hAnsi="Times New Roman"/>
                <w:sz w:val="24"/>
                <w:szCs w:val="24"/>
              </w:rPr>
              <w:t>3,4a</w:t>
            </w:r>
          </w:p>
        </w:tc>
        <w:tc>
          <w:tcPr>
            <w:tcW w:w="1559"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ind w:right="-111"/>
              <w:jc w:val="center"/>
              <w:rPr>
                <w:rFonts w:ascii="Times New Roman" w:eastAsia="Times New Roman" w:hAnsi="Times New Roman"/>
                <w:sz w:val="24"/>
                <w:szCs w:val="24"/>
              </w:rPr>
            </w:pPr>
            <w:r w:rsidRPr="00420EF0">
              <w:rPr>
                <w:rFonts w:ascii="Times New Roman" w:eastAsia="Times New Roman" w:hAnsi="Times New Roman"/>
                <w:sz w:val="24"/>
                <w:szCs w:val="24"/>
              </w:rPr>
              <w:t>143,1a</w:t>
            </w:r>
          </w:p>
        </w:tc>
        <w:tc>
          <w:tcPr>
            <w:tcW w:w="1843"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sz w:val="24"/>
                <w:szCs w:val="24"/>
              </w:rPr>
            </w:pPr>
            <w:r w:rsidRPr="00420EF0">
              <w:rPr>
                <w:rFonts w:ascii="Times New Roman" w:eastAsia="Times New Roman" w:hAnsi="Times New Roman"/>
                <w:sz w:val="24"/>
                <w:szCs w:val="24"/>
              </w:rPr>
              <w:t>8a</w:t>
            </w:r>
          </w:p>
        </w:tc>
      </w:tr>
      <w:tr w:rsidR="00D837AF" w:rsidRPr="00420EF0" w:rsidTr="00F852F2">
        <w:trPr>
          <w:jc w:val="center"/>
        </w:trPr>
        <w:tc>
          <w:tcPr>
            <w:tcW w:w="2122" w:type="dxa"/>
            <w:shd w:val="clear" w:color="auto" w:fill="auto"/>
          </w:tcPr>
          <w:p w:rsidR="00D837AF" w:rsidRPr="00420EF0" w:rsidRDefault="00D837AF" w:rsidP="00F852F2">
            <w:pPr>
              <w:spacing w:after="0" w:line="240" w:lineRule="atLeast"/>
              <w:jc w:val="center"/>
              <w:rPr>
                <w:rFonts w:ascii="Times New Roman" w:eastAsia="Times New Roman" w:hAnsi="Times New Roman"/>
                <w:bCs/>
                <w:sz w:val="24"/>
                <w:szCs w:val="24"/>
              </w:rPr>
            </w:pPr>
            <w:r w:rsidRPr="00420EF0">
              <w:rPr>
                <w:rFonts w:ascii="Times New Roman" w:eastAsia="Times New Roman" w:hAnsi="Times New Roman"/>
                <w:bCs/>
                <w:color w:val="000000"/>
                <w:sz w:val="24"/>
                <w:szCs w:val="24"/>
              </w:rPr>
              <w:t>EE</w:t>
            </w:r>
            <m:oMath>
              <m:acc>
                <m:accPr>
                  <m:chr m:val="̅"/>
                  <m:ctrlPr>
                    <w:rPr>
                      <w:rFonts w:ascii="Cambria Math" w:eastAsia="Times New Roman" w:hAnsi="Cambria Math"/>
                      <w:i/>
                      <w:sz w:val="24"/>
                      <w:szCs w:val="24"/>
                    </w:rPr>
                  </m:ctrlPr>
                </m:accPr>
                <m:e>
                  <m:r>
                    <w:rPr>
                      <w:rFonts w:ascii="Cambria Math" w:hAnsi="Cambria Math"/>
                      <w:sz w:val="24"/>
                      <w:szCs w:val="24"/>
                    </w:rPr>
                    <m:t>X</m:t>
                  </m:r>
                </m:e>
              </m:acc>
            </m:oMath>
            <w:r w:rsidRPr="00420EF0">
              <w:rPr>
                <w:rFonts w:ascii="Times New Roman" w:eastAsia="Times New Roman" w:hAnsi="Times New Roman"/>
                <w:bCs/>
                <w:sz w:val="24"/>
                <w:szCs w:val="24"/>
              </w:rPr>
              <w:t xml:space="preserve"> ±</w:t>
            </w:r>
          </w:p>
        </w:tc>
        <w:tc>
          <w:tcPr>
            <w:tcW w:w="1559" w:type="dxa"/>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color w:val="000000"/>
                <w:sz w:val="24"/>
                <w:szCs w:val="24"/>
              </w:rPr>
            </w:pPr>
            <w:r w:rsidRPr="00420EF0">
              <w:rPr>
                <w:rFonts w:ascii="Times New Roman" w:eastAsia="Times New Roman" w:hAnsi="Times New Roman"/>
                <w:color w:val="000000"/>
                <w:sz w:val="24"/>
                <w:szCs w:val="24"/>
              </w:rPr>
              <w:t>0,11</w:t>
            </w:r>
          </w:p>
        </w:tc>
        <w:tc>
          <w:tcPr>
            <w:tcW w:w="1559" w:type="dxa"/>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color w:val="000000"/>
                <w:sz w:val="24"/>
                <w:szCs w:val="24"/>
              </w:rPr>
            </w:pPr>
            <w:r w:rsidRPr="00420EF0">
              <w:rPr>
                <w:rFonts w:ascii="Times New Roman" w:eastAsia="Times New Roman" w:hAnsi="Times New Roman"/>
                <w:color w:val="000000"/>
                <w:sz w:val="24"/>
                <w:szCs w:val="24"/>
              </w:rPr>
              <w:t>2,17</w:t>
            </w:r>
          </w:p>
        </w:tc>
        <w:tc>
          <w:tcPr>
            <w:tcW w:w="1843" w:type="dxa"/>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color w:val="000000"/>
                <w:sz w:val="24"/>
                <w:szCs w:val="24"/>
              </w:rPr>
            </w:pPr>
            <w:r w:rsidRPr="00420EF0">
              <w:rPr>
                <w:rFonts w:ascii="Times New Roman" w:eastAsia="Times New Roman" w:hAnsi="Times New Roman"/>
                <w:color w:val="000000"/>
                <w:sz w:val="24"/>
                <w:szCs w:val="24"/>
              </w:rPr>
              <w:t>0,43</w:t>
            </w:r>
          </w:p>
        </w:tc>
      </w:tr>
    </w:tbl>
    <w:p w:rsidR="00D837AF" w:rsidRPr="00420EF0" w:rsidRDefault="00D837AF" w:rsidP="00D837AF">
      <w:pPr>
        <w:widowControl w:val="0"/>
        <w:autoSpaceDE w:val="0"/>
        <w:autoSpaceDN w:val="0"/>
        <w:adjustRightInd w:val="0"/>
        <w:spacing w:after="0" w:line="240" w:lineRule="atLeast"/>
        <w:jc w:val="both"/>
        <w:rPr>
          <w:rFonts w:ascii="Times New Roman" w:hAnsi="Times New Roman"/>
          <w:color w:val="000000"/>
        </w:rPr>
      </w:pPr>
      <w:r w:rsidRPr="00420EF0">
        <w:rPr>
          <w:rFonts w:ascii="Times New Roman" w:hAnsi="Times New Roman"/>
          <w:color w:val="000000"/>
        </w:rPr>
        <w:t>(</w:t>
      </w:r>
      <w:proofErr w:type="gramStart"/>
      <w:r w:rsidRPr="00420EF0">
        <w:rPr>
          <w:rFonts w:ascii="Times New Roman" w:hAnsi="Times New Roman"/>
          <w:color w:val="000000"/>
        </w:rPr>
        <w:t>a</w:t>
      </w:r>
      <w:proofErr w:type="gramEnd"/>
      <w:r w:rsidRPr="00420EF0">
        <w:rPr>
          <w:rFonts w:ascii="Times New Roman" w:hAnsi="Times New Roman"/>
          <w:color w:val="000000"/>
        </w:rPr>
        <w:t>, b, c) medias con letras no comunes en una misma columna difieren por LSD para</w:t>
      </w:r>
    </w:p>
    <w:p w:rsidR="00D837AF" w:rsidRPr="00420EF0" w:rsidRDefault="00D837AF" w:rsidP="00D837AF">
      <w:pPr>
        <w:widowControl w:val="0"/>
        <w:autoSpaceDE w:val="0"/>
        <w:autoSpaceDN w:val="0"/>
        <w:adjustRightInd w:val="0"/>
        <w:spacing w:after="0" w:line="240" w:lineRule="atLeast"/>
        <w:jc w:val="both"/>
        <w:rPr>
          <w:rFonts w:ascii="Times New Roman" w:hAnsi="Times New Roman"/>
          <w:color w:val="000000"/>
          <w:szCs w:val="18"/>
        </w:rPr>
      </w:pPr>
      <w:r w:rsidRPr="00420EF0">
        <w:rPr>
          <w:rFonts w:ascii="Times New Roman" w:hAnsi="Times New Roman"/>
          <w:color w:val="000000"/>
          <w:szCs w:val="18"/>
        </w:rPr>
        <w:t xml:space="preserve"> p ≤ 0,05 </w:t>
      </w:r>
    </w:p>
    <w:p w:rsidR="00D837AF" w:rsidRPr="00420EF0" w:rsidRDefault="00D837AF" w:rsidP="00D837AF">
      <w:pPr>
        <w:spacing w:after="0" w:line="360" w:lineRule="auto"/>
        <w:jc w:val="both"/>
        <w:rPr>
          <w:rFonts w:ascii="Times New Roman" w:hAnsi="Times New Roman"/>
          <w:sz w:val="24"/>
        </w:rPr>
      </w:pPr>
      <w:r w:rsidRPr="00420EF0">
        <w:rPr>
          <w:rFonts w:ascii="Times New Roman" w:hAnsi="Times New Roman"/>
          <w:sz w:val="24"/>
        </w:rPr>
        <w:t xml:space="preserve">La evaluación realizada al número de hojas activas por tallo a los 126 días después de plantada coincide con lo planteado por Jorge </w:t>
      </w:r>
      <w:r w:rsidRPr="00420EF0">
        <w:rPr>
          <w:rFonts w:ascii="Times New Roman" w:hAnsi="Times New Roman"/>
          <w:i/>
          <w:sz w:val="24"/>
        </w:rPr>
        <w:t>et al</w:t>
      </w:r>
      <w:r w:rsidRPr="00420EF0">
        <w:rPr>
          <w:rFonts w:ascii="Times New Roman" w:hAnsi="Times New Roman"/>
          <w:sz w:val="24"/>
        </w:rPr>
        <w:t>. (2010b) donde el número de hojas activas se encuentra por encima de siete en los tres tratamientos. Esto está dado porque al haber menor espacio incide menos cantidad de luz solar lo cual proporciona una mayor concentración de hormonas del crecimiento vegetal y por lo tanto se emiten mayor número de hojas (</w:t>
      </w:r>
      <w:proofErr w:type="spellStart"/>
      <w:r w:rsidRPr="00420EF0">
        <w:rPr>
          <w:rFonts w:ascii="Times New Roman" w:hAnsi="Times New Roman"/>
          <w:sz w:val="24"/>
        </w:rPr>
        <w:t>Benda</w:t>
      </w:r>
      <w:proofErr w:type="spellEnd"/>
      <w:r w:rsidRPr="00420EF0">
        <w:rPr>
          <w:rFonts w:ascii="Times New Roman" w:hAnsi="Times New Roman"/>
          <w:sz w:val="24"/>
        </w:rPr>
        <w:t xml:space="preserve"> y </w:t>
      </w:r>
      <w:proofErr w:type="spellStart"/>
      <w:r w:rsidRPr="00420EF0">
        <w:rPr>
          <w:rFonts w:ascii="Times New Roman" w:hAnsi="Times New Roman"/>
          <w:sz w:val="24"/>
        </w:rPr>
        <w:t>Dunckelman</w:t>
      </w:r>
      <w:proofErr w:type="spellEnd"/>
      <w:r w:rsidRPr="00420EF0">
        <w:rPr>
          <w:rFonts w:ascii="Times New Roman" w:hAnsi="Times New Roman"/>
          <w:sz w:val="24"/>
        </w:rPr>
        <w:t>, 1987).</w:t>
      </w:r>
    </w:p>
    <w:p w:rsidR="00D837AF" w:rsidRPr="00420EF0" w:rsidRDefault="00D837AF" w:rsidP="00D837AF">
      <w:pPr>
        <w:spacing w:after="0" w:line="360" w:lineRule="auto"/>
        <w:jc w:val="both"/>
        <w:rPr>
          <w:rFonts w:ascii="Times New Roman" w:hAnsi="Times New Roman"/>
          <w:sz w:val="24"/>
        </w:rPr>
      </w:pPr>
      <w:r w:rsidRPr="00420EF0">
        <w:rPr>
          <w:rFonts w:ascii="Times New Roman" w:hAnsi="Times New Roman"/>
          <w:sz w:val="24"/>
        </w:rPr>
        <w:t xml:space="preserve">El área foliar en el marco de plantación surco de base ancha al concluir el cierre del campo (126 días después de plantada) fue de </w:t>
      </w:r>
      <w:r w:rsidRPr="00420EF0">
        <w:rPr>
          <w:rFonts w:ascii="Times New Roman" w:hAnsi="Times New Roman"/>
          <w:sz w:val="24"/>
          <w:szCs w:val="24"/>
        </w:rPr>
        <w:t>0,31 m</w:t>
      </w:r>
      <w:r w:rsidRPr="00420EF0">
        <w:rPr>
          <w:rFonts w:ascii="Times New Roman" w:hAnsi="Times New Roman"/>
          <w:sz w:val="24"/>
          <w:szCs w:val="24"/>
          <w:vertAlign w:val="superscript"/>
        </w:rPr>
        <w:t>2</w:t>
      </w:r>
      <w:r w:rsidRPr="00420EF0">
        <w:rPr>
          <w:rFonts w:ascii="Times New Roman" w:hAnsi="Times New Roman"/>
          <w:sz w:val="24"/>
        </w:rPr>
        <w:t xml:space="preserve"> lo cual es superior que en el resto de los tratamientos, debido a que posee mayor número de hojas activas por planta (Figura 1). Según Van </w:t>
      </w:r>
      <w:proofErr w:type="spellStart"/>
      <w:r w:rsidRPr="00420EF0">
        <w:rPr>
          <w:rFonts w:ascii="Times New Roman" w:hAnsi="Times New Roman"/>
          <w:sz w:val="24"/>
        </w:rPr>
        <w:t>Dillewijn</w:t>
      </w:r>
      <w:proofErr w:type="spellEnd"/>
      <w:r w:rsidRPr="00420EF0">
        <w:rPr>
          <w:rFonts w:ascii="Times New Roman" w:hAnsi="Times New Roman"/>
          <w:sz w:val="24"/>
        </w:rPr>
        <w:t xml:space="preserve"> (1952) Fernández </w:t>
      </w:r>
      <w:r w:rsidRPr="00420EF0">
        <w:rPr>
          <w:rFonts w:ascii="Times New Roman" w:hAnsi="Times New Roman"/>
          <w:i/>
          <w:sz w:val="24"/>
        </w:rPr>
        <w:t>et al</w:t>
      </w:r>
      <w:r w:rsidRPr="00420EF0">
        <w:rPr>
          <w:rFonts w:ascii="Times New Roman" w:hAnsi="Times New Roman"/>
          <w:sz w:val="24"/>
        </w:rPr>
        <w:t>. (1990) en caña de azúcar el área foliar, una vez concluido el gran período de crecimiento, oscila entre 0,47 m</w:t>
      </w:r>
      <w:r w:rsidRPr="00420EF0">
        <w:rPr>
          <w:rFonts w:ascii="Times New Roman" w:hAnsi="Times New Roman"/>
          <w:sz w:val="24"/>
          <w:vertAlign w:val="superscript"/>
        </w:rPr>
        <w:t>2</w:t>
      </w:r>
      <w:r w:rsidRPr="00420EF0">
        <w:rPr>
          <w:rFonts w:ascii="Times New Roman" w:hAnsi="Times New Roman"/>
          <w:sz w:val="24"/>
        </w:rPr>
        <w:t xml:space="preserve"> y 0,50 m</w:t>
      </w:r>
      <w:r w:rsidRPr="00420EF0">
        <w:rPr>
          <w:rFonts w:ascii="Times New Roman" w:hAnsi="Times New Roman"/>
          <w:sz w:val="24"/>
          <w:vertAlign w:val="superscript"/>
        </w:rPr>
        <w:t>2</w:t>
      </w:r>
      <w:r w:rsidRPr="00420EF0">
        <w:rPr>
          <w:rFonts w:ascii="Times New Roman" w:hAnsi="Times New Roman"/>
          <w:sz w:val="24"/>
        </w:rPr>
        <w:t xml:space="preserve"> por planta en tallos con un promedio de 10 hojas. </w:t>
      </w:r>
    </w:p>
    <w:p w:rsidR="00D837AF" w:rsidRPr="00420EF0" w:rsidRDefault="00D837AF" w:rsidP="00D837AF">
      <w:pPr>
        <w:spacing w:after="0" w:line="360" w:lineRule="auto"/>
        <w:jc w:val="center"/>
        <w:rPr>
          <w:rFonts w:ascii="Times New Roman" w:hAnsi="Times New Roman"/>
        </w:rPr>
      </w:pPr>
      <w:r w:rsidRPr="00420EF0">
        <w:rPr>
          <w:rFonts w:ascii="Times New Roman" w:hAnsi="Times New Roman"/>
          <w:noProof/>
        </w:rPr>
        <w:drawing>
          <wp:inline distT="0" distB="0" distL="0" distR="0" wp14:anchorId="13A4F3B5" wp14:editId="3A263282">
            <wp:extent cx="3733800" cy="2390775"/>
            <wp:effectExtent l="0" t="0" r="0" b="9525"/>
            <wp:docPr id="3"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837AF" w:rsidRPr="00420EF0" w:rsidRDefault="00D837AF" w:rsidP="00D837AF">
      <w:pPr>
        <w:spacing w:after="0" w:line="360" w:lineRule="auto"/>
        <w:jc w:val="center"/>
        <w:rPr>
          <w:rFonts w:ascii="Times New Roman" w:hAnsi="Times New Roman"/>
        </w:rPr>
      </w:pPr>
      <w:r w:rsidRPr="00420EF0">
        <w:rPr>
          <w:rFonts w:ascii="Times New Roman" w:hAnsi="Times New Roman"/>
        </w:rPr>
        <w:t>Figura 1. Área foliar a los 126 días después de plantada por tallo según tratamientos</w:t>
      </w:r>
    </w:p>
    <w:p w:rsidR="00D837AF" w:rsidRPr="00420EF0" w:rsidRDefault="00D837AF" w:rsidP="00D837AF">
      <w:pPr>
        <w:spacing w:after="0" w:line="360" w:lineRule="auto"/>
        <w:jc w:val="both"/>
        <w:rPr>
          <w:rFonts w:ascii="Times New Roman" w:hAnsi="Times New Roman"/>
          <w:sz w:val="24"/>
        </w:rPr>
      </w:pPr>
      <w:r w:rsidRPr="00420EF0">
        <w:rPr>
          <w:rFonts w:ascii="Times New Roman" w:eastAsia="Times New Roman" w:hAnsi="Times New Roman"/>
          <w:sz w:val="24"/>
          <w:szCs w:val="24"/>
        </w:rPr>
        <w:t>N</w:t>
      </w:r>
      <w:r w:rsidRPr="00420EF0">
        <w:rPr>
          <w:rFonts w:ascii="Times New Roman" w:hAnsi="Times New Roman"/>
          <w:sz w:val="24"/>
        </w:rPr>
        <w:t xml:space="preserve">o se presentaron diferencias significativas en el número de entrenudos al cierre del campo, pero al finalizar el gran período de crecimiento la diferencia más notable en este indicador estaba entre el marco de plantación 1,40 m con un promedio de (20,6) con relación al surco de base ancha (18,5) o sea, hay una tendencia a la disminución del número de entrenudos y por tanto en el largo de los tallos lo que se compensa con el números de tallos por metro lineal (Figura 2). </w:t>
      </w:r>
    </w:p>
    <w:p w:rsidR="00D837AF" w:rsidRPr="00420EF0" w:rsidRDefault="00D837AF" w:rsidP="00D837AF">
      <w:pPr>
        <w:spacing w:after="0" w:line="360" w:lineRule="auto"/>
        <w:jc w:val="center"/>
        <w:rPr>
          <w:rFonts w:ascii="Times New Roman" w:hAnsi="Times New Roman"/>
        </w:rPr>
      </w:pPr>
      <w:r w:rsidRPr="00420EF0">
        <w:rPr>
          <w:rFonts w:ascii="Times New Roman" w:hAnsi="Times New Roman"/>
          <w:noProof/>
        </w:rPr>
        <w:drawing>
          <wp:inline distT="0" distB="0" distL="0" distR="0" wp14:anchorId="666C7134" wp14:editId="693FB8C5">
            <wp:extent cx="4695825" cy="1828800"/>
            <wp:effectExtent l="0" t="0" r="0" b="0"/>
            <wp:docPr id="2"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837AF" w:rsidRPr="00420EF0" w:rsidRDefault="00D837AF" w:rsidP="00D837AF">
      <w:pPr>
        <w:spacing w:after="0" w:line="360" w:lineRule="auto"/>
        <w:jc w:val="center"/>
        <w:rPr>
          <w:rFonts w:ascii="Times New Roman" w:hAnsi="Times New Roman"/>
        </w:rPr>
      </w:pPr>
      <w:r w:rsidRPr="00420EF0">
        <w:rPr>
          <w:rFonts w:ascii="Times New Roman" w:hAnsi="Times New Roman"/>
        </w:rPr>
        <w:t>Figura 2. Comparación entre el número de entrenudos del cultivar C90-469 a los 146 y a los 259 ddp</w:t>
      </w:r>
    </w:p>
    <w:p w:rsidR="00D837AF" w:rsidRPr="00420EF0" w:rsidRDefault="00D837AF" w:rsidP="00D837AF">
      <w:pPr>
        <w:spacing w:after="0" w:line="360" w:lineRule="auto"/>
        <w:jc w:val="both"/>
        <w:rPr>
          <w:rFonts w:ascii="Times New Roman" w:hAnsi="Times New Roman"/>
          <w:i/>
          <w:sz w:val="24"/>
          <w:szCs w:val="24"/>
        </w:rPr>
      </w:pPr>
      <w:r w:rsidRPr="00420EF0">
        <w:rPr>
          <w:rFonts w:ascii="Times New Roman" w:hAnsi="Times New Roman"/>
          <w:sz w:val="24"/>
          <w:szCs w:val="24"/>
        </w:rPr>
        <w:t xml:space="preserve">Las evaluaciones realizadas muestran que la longitud de los entrenudos es similar a los 146 ddp, pero al concluir el gran período de crecimiento a los 259 ddp se hace superior en el marco de plantación 1,60 m que en el resto de los tratamientos, a pesar de que no existen diferencias significativas entre ellos, (Figura 3). En todos los casos, en las condiciones del experimento el largo de los entrenudos es superior al reportado por Jorge </w:t>
      </w:r>
      <w:r w:rsidRPr="00420EF0">
        <w:rPr>
          <w:rFonts w:ascii="Times New Roman" w:hAnsi="Times New Roman"/>
          <w:i/>
          <w:sz w:val="24"/>
          <w:szCs w:val="24"/>
        </w:rPr>
        <w:t xml:space="preserve">et al. </w:t>
      </w:r>
      <w:r w:rsidRPr="00420EF0">
        <w:rPr>
          <w:rFonts w:ascii="Times New Roman" w:hAnsi="Times New Roman"/>
          <w:sz w:val="24"/>
          <w:szCs w:val="24"/>
        </w:rPr>
        <w:t>(2010)</w:t>
      </w:r>
      <w:r w:rsidRPr="00420EF0">
        <w:rPr>
          <w:rFonts w:ascii="Times New Roman" w:hAnsi="Times New Roman"/>
          <w:i/>
          <w:sz w:val="24"/>
          <w:szCs w:val="24"/>
        </w:rPr>
        <w:t xml:space="preserve"> </w:t>
      </w:r>
      <w:r w:rsidRPr="00420EF0">
        <w:rPr>
          <w:rFonts w:ascii="Times New Roman" w:hAnsi="Times New Roman"/>
          <w:sz w:val="24"/>
          <w:szCs w:val="24"/>
          <w:lang w:val="es-ES_tradnl"/>
        </w:rPr>
        <w:t>este cultivar se caracteriza por presentar como promedio 13,6 cm de longitud del entrenudo en condiciones de producción.</w:t>
      </w:r>
    </w:p>
    <w:p w:rsidR="00D837AF" w:rsidRPr="00420EF0" w:rsidRDefault="00D837AF" w:rsidP="00D837AF">
      <w:pPr>
        <w:widowControl w:val="0"/>
        <w:autoSpaceDE w:val="0"/>
        <w:autoSpaceDN w:val="0"/>
        <w:adjustRightInd w:val="0"/>
        <w:spacing w:after="0" w:line="360" w:lineRule="auto"/>
        <w:jc w:val="center"/>
        <w:rPr>
          <w:rFonts w:ascii="Times New Roman" w:hAnsi="Times New Roman"/>
          <w:b/>
        </w:rPr>
      </w:pPr>
      <w:r w:rsidRPr="00420EF0">
        <w:rPr>
          <w:rFonts w:ascii="Times New Roman" w:hAnsi="Times New Roman"/>
          <w:noProof/>
        </w:rPr>
        <w:drawing>
          <wp:inline distT="0" distB="0" distL="0" distR="0" wp14:anchorId="4CA05873" wp14:editId="3E6E096C">
            <wp:extent cx="4457700" cy="2076450"/>
            <wp:effectExtent l="0" t="0" r="0" b="0"/>
            <wp:docPr id="4"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837AF" w:rsidRPr="00420EF0" w:rsidRDefault="00D837AF" w:rsidP="00D837AF">
      <w:pPr>
        <w:widowControl w:val="0"/>
        <w:autoSpaceDE w:val="0"/>
        <w:autoSpaceDN w:val="0"/>
        <w:adjustRightInd w:val="0"/>
        <w:spacing w:after="0" w:line="360" w:lineRule="auto"/>
        <w:jc w:val="center"/>
        <w:rPr>
          <w:rFonts w:ascii="Times New Roman" w:hAnsi="Times New Roman"/>
        </w:rPr>
      </w:pPr>
      <w:r w:rsidRPr="00420EF0">
        <w:rPr>
          <w:rFonts w:ascii="Times New Roman" w:hAnsi="Times New Roman"/>
        </w:rPr>
        <w:t>Figura 3. Comparación del largo de los entrenudos a los 146 y a los 259 ddp</w:t>
      </w:r>
    </w:p>
    <w:p w:rsidR="00D837AF" w:rsidRPr="00420EF0" w:rsidRDefault="00D837AF" w:rsidP="00D837AF">
      <w:pPr>
        <w:spacing w:after="0" w:line="360" w:lineRule="auto"/>
        <w:jc w:val="both"/>
        <w:rPr>
          <w:rFonts w:ascii="Times New Roman" w:hAnsi="Times New Roman"/>
          <w:sz w:val="24"/>
        </w:rPr>
      </w:pPr>
      <w:r w:rsidRPr="00420EF0">
        <w:rPr>
          <w:rFonts w:ascii="Times New Roman" w:hAnsi="Times New Roman"/>
          <w:sz w:val="24"/>
        </w:rPr>
        <w:t xml:space="preserve">No se presentaron diferencias significativas en el diámetro de los tallos entre los tres métodos de plantación evaluados (Tabla 3). Esta es una cualidad intrínseca de cada cultivar, determinada por sus características botánicas de acuerdo a lo planteado por Jorge </w:t>
      </w:r>
      <w:r w:rsidRPr="00420EF0">
        <w:rPr>
          <w:rFonts w:ascii="Times New Roman" w:hAnsi="Times New Roman"/>
          <w:i/>
          <w:sz w:val="24"/>
        </w:rPr>
        <w:t>et al.</w:t>
      </w:r>
      <w:r w:rsidRPr="00420EF0">
        <w:rPr>
          <w:rFonts w:ascii="Times New Roman" w:hAnsi="Times New Roman"/>
          <w:sz w:val="24"/>
        </w:rPr>
        <w:t xml:space="preserve"> (2004); </w:t>
      </w:r>
      <w:r w:rsidRPr="00420EF0">
        <w:rPr>
          <w:rFonts w:ascii="Times New Roman" w:hAnsi="Times New Roman"/>
          <w:sz w:val="24"/>
          <w:szCs w:val="24"/>
        </w:rPr>
        <w:t xml:space="preserve">Jorge </w:t>
      </w:r>
      <w:r w:rsidRPr="00420EF0">
        <w:rPr>
          <w:rFonts w:ascii="Times New Roman" w:hAnsi="Times New Roman"/>
          <w:i/>
          <w:sz w:val="24"/>
          <w:szCs w:val="24"/>
        </w:rPr>
        <w:t xml:space="preserve">et al. </w:t>
      </w:r>
      <w:r w:rsidRPr="00420EF0">
        <w:rPr>
          <w:rFonts w:ascii="Times New Roman" w:hAnsi="Times New Roman"/>
          <w:sz w:val="24"/>
          <w:szCs w:val="24"/>
        </w:rPr>
        <w:t xml:space="preserve">(2010b) y Gómez </w:t>
      </w:r>
      <w:r w:rsidRPr="00420EF0">
        <w:rPr>
          <w:rFonts w:ascii="Times New Roman" w:hAnsi="Times New Roman"/>
          <w:i/>
          <w:sz w:val="24"/>
          <w:szCs w:val="24"/>
        </w:rPr>
        <w:t xml:space="preserve">et al. </w:t>
      </w:r>
      <w:r w:rsidRPr="00420EF0">
        <w:rPr>
          <w:rFonts w:ascii="Times New Roman" w:hAnsi="Times New Roman"/>
          <w:sz w:val="24"/>
          <w:szCs w:val="24"/>
        </w:rPr>
        <w:t>(2011).</w:t>
      </w:r>
      <w:r w:rsidRPr="00420EF0">
        <w:rPr>
          <w:rFonts w:ascii="Times New Roman" w:hAnsi="Times New Roman"/>
          <w:sz w:val="24"/>
        </w:rPr>
        <w:t xml:space="preserve"> Como generalmente sucede en la mayoría de los cultivares de caña de azúcar, el mayor diámetro se produce durante el desarrollo de la cepa de planta, con tendencia a un afinamiento en las cepas subsiguientes. </w:t>
      </w:r>
    </w:p>
    <w:p w:rsidR="00D837AF" w:rsidRPr="00420EF0" w:rsidRDefault="00D837AF" w:rsidP="00D837AF">
      <w:pPr>
        <w:spacing w:after="0" w:line="240" w:lineRule="atLeast"/>
        <w:jc w:val="center"/>
        <w:rPr>
          <w:rFonts w:ascii="Times New Roman" w:hAnsi="Times New Roman"/>
          <w:sz w:val="24"/>
        </w:rPr>
      </w:pPr>
      <w:r w:rsidRPr="00420EF0">
        <w:rPr>
          <w:rFonts w:ascii="Times New Roman" w:hAnsi="Times New Roman"/>
        </w:rPr>
        <w:t>Tabla 3. Comparación entre el diámetro de los entrenudos del cultivar C90-469 a los 146 y a los 259ddp</w:t>
      </w:r>
    </w:p>
    <w:tbl>
      <w:tblPr>
        <w:tblW w:w="5997" w:type="dxa"/>
        <w:jc w:val="center"/>
        <w:tblBorders>
          <w:top w:val="single" w:sz="4" w:space="0" w:color="7F7F7F"/>
          <w:bottom w:val="single" w:sz="4" w:space="0" w:color="7F7F7F"/>
        </w:tblBorders>
        <w:tblLook w:val="04A0" w:firstRow="1" w:lastRow="0" w:firstColumn="1" w:lastColumn="0" w:noHBand="0" w:noVBand="1"/>
      </w:tblPr>
      <w:tblGrid>
        <w:gridCol w:w="2048"/>
        <w:gridCol w:w="1895"/>
        <w:gridCol w:w="2054"/>
      </w:tblGrid>
      <w:tr w:rsidR="00D837AF" w:rsidRPr="00420EF0" w:rsidTr="00F852F2">
        <w:trPr>
          <w:jc w:val="center"/>
        </w:trPr>
        <w:tc>
          <w:tcPr>
            <w:tcW w:w="2048" w:type="dxa"/>
            <w:tcBorders>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bCs/>
                <w:color w:val="000000"/>
                <w:sz w:val="24"/>
                <w:szCs w:val="24"/>
              </w:rPr>
            </w:pPr>
            <w:r w:rsidRPr="00420EF0">
              <w:rPr>
                <w:rFonts w:ascii="Times New Roman" w:eastAsia="Times New Roman" w:hAnsi="Times New Roman"/>
                <w:bCs/>
                <w:color w:val="000000"/>
                <w:sz w:val="24"/>
                <w:szCs w:val="24"/>
              </w:rPr>
              <w:t>Tratamientos (Marco de plantación)</w:t>
            </w:r>
          </w:p>
        </w:tc>
        <w:tc>
          <w:tcPr>
            <w:tcW w:w="1895" w:type="dxa"/>
            <w:tcBorders>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hAnsi="Times New Roman"/>
                <w:bCs/>
                <w:sz w:val="24"/>
                <w:szCs w:val="24"/>
              </w:rPr>
            </w:pPr>
            <w:r w:rsidRPr="00420EF0">
              <w:rPr>
                <w:rFonts w:ascii="Times New Roman" w:hAnsi="Times New Roman"/>
                <w:bCs/>
                <w:color w:val="000000"/>
                <w:sz w:val="24"/>
                <w:szCs w:val="24"/>
              </w:rPr>
              <w:t>Diámetro del entrenudo (cm) 146 ddp</w:t>
            </w:r>
          </w:p>
        </w:tc>
        <w:tc>
          <w:tcPr>
            <w:tcW w:w="2054" w:type="dxa"/>
            <w:tcBorders>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bCs/>
                <w:color w:val="000000"/>
                <w:sz w:val="24"/>
                <w:szCs w:val="24"/>
              </w:rPr>
            </w:pPr>
            <w:r w:rsidRPr="00420EF0">
              <w:rPr>
                <w:rFonts w:ascii="Times New Roman" w:hAnsi="Times New Roman"/>
                <w:bCs/>
                <w:color w:val="000000"/>
                <w:sz w:val="24"/>
                <w:szCs w:val="24"/>
              </w:rPr>
              <w:t>Diámetro del entrenudo (cm) 259 ddp</w:t>
            </w:r>
          </w:p>
        </w:tc>
      </w:tr>
      <w:tr w:rsidR="00D837AF" w:rsidRPr="00420EF0" w:rsidTr="00F852F2">
        <w:trPr>
          <w:jc w:val="center"/>
        </w:trPr>
        <w:tc>
          <w:tcPr>
            <w:tcW w:w="2048"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bCs/>
                <w:sz w:val="24"/>
                <w:szCs w:val="24"/>
              </w:rPr>
            </w:pPr>
            <w:r w:rsidRPr="00420EF0">
              <w:rPr>
                <w:rFonts w:ascii="Times New Roman" w:eastAsia="Times New Roman" w:hAnsi="Times New Roman"/>
                <w:bCs/>
                <w:sz w:val="24"/>
                <w:szCs w:val="24"/>
              </w:rPr>
              <w:t>1,40m</w:t>
            </w:r>
          </w:p>
        </w:tc>
        <w:tc>
          <w:tcPr>
            <w:tcW w:w="1895"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hAnsi="Times New Roman"/>
                <w:sz w:val="24"/>
                <w:szCs w:val="24"/>
              </w:rPr>
            </w:pPr>
            <w:r w:rsidRPr="00420EF0">
              <w:rPr>
                <w:rFonts w:ascii="Times New Roman" w:hAnsi="Times New Roman"/>
                <w:sz w:val="24"/>
                <w:szCs w:val="24"/>
              </w:rPr>
              <w:t>2,8</w:t>
            </w:r>
          </w:p>
        </w:tc>
        <w:tc>
          <w:tcPr>
            <w:tcW w:w="2054"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hAnsi="Times New Roman"/>
                <w:sz w:val="24"/>
                <w:szCs w:val="24"/>
              </w:rPr>
            </w:pPr>
            <w:r w:rsidRPr="00420EF0">
              <w:rPr>
                <w:rFonts w:ascii="Times New Roman" w:hAnsi="Times New Roman"/>
                <w:sz w:val="24"/>
                <w:szCs w:val="24"/>
              </w:rPr>
              <w:t>3,0</w:t>
            </w:r>
          </w:p>
        </w:tc>
      </w:tr>
      <w:tr w:rsidR="00D837AF" w:rsidRPr="00420EF0" w:rsidTr="00F852F2">
        <w:trPr>
          <w:jc w:val="center"/>
        </w:trPr>
        <w:tc>
          <w:tcPr>
            <w:tcW w:w="2048" w:type="dxa"/>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bCs/>
                <w:sz w:val="24"/>
                <w:szCs w:val="24"/>
              </w:rPr>
            </w:pPr>
            <w:r w:rsidRPr="00420EF0">
              <w:rPr>
                <w:rFonts w:ascii="Times New Roman" w:eastAsia="Times New Roman" w:hAnsi="Times New Roman"/>
                <w:bCs/>
                <w:sz w:val="24"/>
                <w:szCs w:val="24"/>
              </w:rPr>
              <w:t>Base ancha</w:t>
            </w:r>
          </w:p>
        </w:tc>
        <w:tc>
          <w:tcPr>
            <w:tcW w:w="1895" w:type="dxa"/>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hAnsi="Times New Roman"/>
                <w:sz w:val="24"/>
                <w:szCs w:val="24"/>
              </w:rPr>
            </w:pPr>
            <w:r w:rsidRPr="00420EF0">
              <w:rPr>
                <w:rFonts w:ascii="Times New Roman" w:hAnsi="Times New Roman"/>
                <w:sz w:val="24"/>
                <w:szCs w:val="24"/>
              </w:rPr>
              <w:t>2,8</w:t>
            </w:r>
          </w:p>
        </w:tc>
        <w:tc>
          <w:tcPr>
            <w:tcW w:w="2054" w:type="dxa"/>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hAnsi="Times New Roman"/>
                <w:sz w:val="24"/>
                <w:szCs w:val="24"/>
              </w:rPr>
            </w:pPr>
            <w:r w:rsidRPr="00420EF0">
              <w:rPr>
                <w:rFonts w:ascii="Times New Roman" w:hAnsi="Times New Roman"/>
                <w:sz w:val="24"/>
                <w:szCs w:val="24"/>
              </w:rPr>
              <w:t>3,0</w:t>
            </w:r>
          </w:p>
        </w:tc>
      </w:tr>
      <w:tr w:rsidR="00D837AF" w:rsidRPr="00420EF0" w:rsidTr="00F852F2">
        <w:trPr>
          <w:jc w:val="center"/>
        </w:trPr>
        <w:tc>
          <w:tcPr>
            <w:tcW w:w="2048"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bCs/>
                <w:sz w:val="24"/>
                <w:szCs w:val="24"/>
              </w:rPr>
            </w:pPr>
            <w:r w:rsidRPr="00420EF0">
              <w:rPr>
                <w:rFonts w:ascii="Times New Roman" w:eastAsia="Times New Roman" w:hAnsi="Times New Roman"/>
                <w:bCs/>
                <w:sz w:val="24"/>
                <w:szCs w:val="24"/>
              </w:rPr>
              <w:t>1,60m</w:t>
            </w:r>
          </w:p>
        </w:tc>
        <w:tc>
          <w:tcPr>
            <w:tcW w:w="1895"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hAnsi="Times New Roman"/>
                <w:sz w:val="24"/>
                <w:szCs w:val="24"/>
              </w:rPr>
            </w:pPr>
            <w:r w:rsidRPr="00420EF0">
              <w:rPr>
                <w:rFonts w:ascii="Times New Roman" w:hAnsi="Times New Roman"/>
                <w:sz w:val="24"/>
                <w:szCs w:val="24"/>
              </w:rPr>
              <w:t>2,7</w:t>
            </w:r>
          </w:p>
        </w:tc>
        <w:tc>
          <w:tcPr>
            <w:tcW w:w="2054"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hAnsi="Times New Roman"/>
                <w:sz w:val="24"/>
                <w:szCs w:val="24"/>
              </w:rPr>
            </w:pPr>
            <w:r w:rsidRPr="00420EF0">
              <w:rPr>
                <w:rFonts w:ascii="Times New Roman" w:hAnsi="Times New Roman"/>
                <w:sz w:val="24"/>
                <w:szCs w:val="24"/>
              </w:rPr>
              <w:t>2,9</w:t>
            </w:r>
          </w:p>
        </w:tc>
      </w:tr>
      <w:tr w:rsidR="00D837AF" w:rsidRPr="00420EF0" w:rsidTr="00F852F2">
        <w:trPr>
          <w:jc w:val="center"/>
        </w:trPr>
        <w:tc>
          <w:tcPr>
            <w:tcW w:w="2048" w:type="dxa"/>
            <w:shd w:val="clear" w:color="auto" w:fill="auto"/>
          </w:tcPr>
          <w:p w:rsidR="00D837AF" w:rsidRPr="00420EF0" w:rsidRDefault="00D837AF" w:rsidP="00F852F2">
            <w:pPr>
              <w:spacing w:after="0" w:line="240" w:lineRule="atLeast"/>
              <w:jc w:val="center"/>
              <w:rPr>
                <w:rFonts w:ascii="Times New Roman" w:eastAsia="Times New Roman" w:hAnsi="Times New Roman"/>
                <w:bCs/>
                <w:sz w:val="24"/>
                <w:szCs w:val="24"/>
              </w:rPr>
            </w:pPr>
            <w:r w:rsidRPr="00420EF0">
              <w:rPr>
                <w:rFonts w:ascii="Times New Roman" w:eastAsia="Times New Roman" w:hAnsi="Times New Roman"/>
                <w:bCs/>
                <w:color w:val="000000"/>
                <w:sz w:val="24"/>
                <w:szCs w:val="24"/>
              </w:rPr>
              <w:t>EE</w:t>
            </w:r>
            <m:oMath>
              <m:acc>
                <m:accPr>
                  <m:chr m:val="̅"/>
                  <m:ctrlPr>
                    <w:rPr>
                      <w:rFonts w:ascii="Cambria Math" w:eastAsia="Times New Roman" w:hAnsi="Cambria Math"/>
                      <w:i/>
                      <w:sz w:val="24"/>
                      <w:szCs w:val="24"/>
                    </w:rPr>
                  </m:ctrlPr>
                </m:accPr>
                <m:e>
                  <m:r>
                    <w:rPr>
                      <w:rFonts w:ascii="Cambria Math" w:hAnsi="Cambria Math"/>
                      <w:sz w:val="24"/>
                      <w:szCs w:val="24"/>
                    </w:rPr>
                    <m:t>X</m:t>
                  </m:r>
                </m:e>
              </m:acc>
            </m:oMath>
            <w:r w:rsidRPr="00420EF0">
              <w:rPr>
                <w:rFonts w:ascii="Times New Roman" w:eastAsia="Times New Roman" w:hAnsi="Times New Roman"/>
                <w:bCs/>
                <w:sz w:val="24"/>
                <w:szCs w:val="24"/>
              </w:rPr>
              <w:t xml:space="preserve"> ±</w:t>
            </w:r>
          </w:p>
        </w:tc>
        <w:tc>
          <w:tcPr>
            <w:tcW w:w="1895" w:type="dxa"/>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hAnsi="Times New Roman"/>
                <w:sz w:val="24"/>
                <w:szCs w:val="24"/>
              </w:rPr>
            </w:pPr>
            <w:r w:rsidRPr="00420EF0">
              <w:rPr>
                <w:rFonts w:ascii="Times New Roman" w:hAnsi="Times New Roman"/>
                <w:sz w:val="24"/>
                <w:szCs w:val="24"/>
              </w:rPr>
              <w:t>0,05</w:t>
            </w:r>
          </w:p>
        </w:tc>
        <w:tc>
          <w:tcPr>
            <w:tcW w:w="2054" w:type="dxa"/>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hAnsi="Times New Roman"/>
                <w:sz w:val="24"/>
                <w:szCs w:val="24"/>
              </w:rPr>
            </w:pPr>
            <w:r w:rsidRPr="00420EF0">
              <w:rPr>
                <w:rFonts w:ascii="Times New Roman" w:hAnsi="Times New Roman"/>
                <w:sz w:val="24"/>
                <w:szCs w:val="24"/>
              </w:rPr>
              <w:t>0,09</w:t>
            </w:r>
          </w:p>
        </w:tc>
      </w:tr>
    </w:tbl>
    <w:p w:rsidR="00D837AF" w:rsidRPr="00420EF0" w:rsidRDefault="00D837AF" w:rsidP="00D837AF">
      <w:pPr>
        <w:widowControl w:val="0"/>
        <w:autoSpaceDE w:val="0"/>
        <w:autoSpaceDN w:val="0"/>
        <w:adjustRightInd w:val="0"/>
        <w:spacing w:after="0" w:line="240" w:lineRule="atLeast"/>
        <w:rPr>
          <w:rFonts w:ascii="Times New Roman" w:eastAsia="Times New Roman" w:hAnsi="Times New Roman"/>
          <w:color w:val="000000"/>
          <w:szCs w:val="24"/>
        </w:rPr>
      </w:pPr>
      <w:proofErr w:type="gramStart"/>
      <w:r w:rsidRPr="00420EF0">
        <w:rPr>
          <w:rFonts w:ascii="Times New Roman" w:eastAsia="Times New Roman" w:hAnsi="Times New Roman"/>
          <w:color w:val="000000"/>
          <w:szCs w:val="24"/>
        </w:rPr>
        <w:t>ddp</w:t>
      </w:r>
      <w:proofErr w:type="gramEnd"/>
      <w:r w:rsidRPr="00420EF0">
        <w:rPr>
          <w:rFonts w:ascii="Times New Roman" w:eastAsia="Times New Roman" w:hAnsi="Times New Roman"/>
          <w:color w:val="000000"/>
          <w:szCs w:val="24"/>
        </w:rPr>
        <w:t>: días después de plantada</w:t>
      </w:r>
    </w:p>
    <w:p w:rsidR="00D837AF" w:rsidRPr="00420EF0" w:rsidRDefault="00D837AF" w:rsidP="00D837AF">
      <w:pPr>
        <w:widowControl w:val="0"/>
        <w:autoSpaceDE w:val="0"/>
        <w:autoSpaceDN w:val="0"/>
        <w:adjustRightInd w:val="0"/>
        <w:spacing w:after="0" w:line="360" w:lineRule="auto"/>
        <w:jc w:val="both"/>
        <w:rPr>
          <w:rFonts w:ascii="Times New Roman" w:hAnsi="Times New Roman"/>
          <w:sz w:val="24"/>
        </w:rPr>
      </w:pPr>
      <w:r w:rsidRPr="00420EF0">
        <w:rPr>
          <w:rFonts w:ascii="Times New Roman" w:eastAsia="Times New Roman" w:hAnsi="Times New Roman"/>
          <w:color w:val="000000"/>
          <w:sz w:val="24"/>
          <w:szCs w:val="24"/>
        </w:rPr>
        <w:t>Con relación al diámetro de los tallos los resultados obtenidos tras las mediciones realizadas a los 146 y 259 días después de plantadas no muestran diferencias significativas entre los</w:t>
      </w:r>
      <w:r w:rsidRPr="00420EF0">
        <w:rPr>
          <w:rFonts w:ascii="Times New Roman" w:hAnsi="Times New Roman"/>
          <w:sz w:val="24"/>
          <w:szCs w:val="24"/>
        </w:rPr>
        <w:t xml:space="preserve"> tratamientos. Los datos obtenidos superan lo planteado por Jorge </w:t>
      </w:r>
      <w:r w:rsidRPr="00420EF0">
        <w:rPr>
          <w:rFonts w:ascii="Times New Roman" w:hAnsi="Times New Roman"/>
          <w:i/>
          <w:sz w:val="24"/>
          <w:szCs w:val="24"/>
        </w:rPr>
        <w:t>et al</w:t>
      </w:r>
      <w:r w:rsidRPr="00420EF0">
        <w:rPr>
          <w:rFonts w:ascii="Times New Roman" w:hAnsi="Times New Roman"/>
          <w:sz w:val="24"/>
          <w:szCs w:val="24"/>
        </w:rPr>
        <w:t xml:space="preserve">. (2010b) donde los tallos en el </w:t>
      </w:r>
      <w:r w:rsidRPr="00420EF0">
        <w:rPr>
          <w:rFonts w:ascii="Times New Roman" w:hAnsi="Times New Roman"/>
          <w:sz w:val="24"/>
        </w:rPr>
        <w:t>cultivar</w:t>
      </w:r>
      <w:r w:rsidRPr="00420EF0">
        <w:rPr>
          <w:rFonts w:ascii="Times New Roman" w:hAnsi="Times New Roman"/>
          <w:sz w:val="24"/>
          <w:szCs w:val="24"/>
        </w:rPr>
        <w:t xml:space="preserve"> C90-469 tienen un diámetro promedio de 2,6 cm.</w:t>
      </w:r>
      <w:r w:rsidRPr="00420EF0">
        <w:rPr>
          <w:rFonts w:ascii="Times New Roman" w:eastAsia="Times New Roman" w:hAnsi="Times New Roman"/>
          <w:color w:val="181717"/>
          <w:sz w:val="24"/>
          <w:szCs w:val="24"/>
        </w:rPr>
        <w:t xml:space="preserve"> En la mayoría de los cultivares de caña de azúcar, el mayor diámetro se produce durante el desarrollo de la cepa de planta, con tendencia a un afinamiento en las cepas subsiguientes. </w:t>
      </w:r>
      <w:r w:rsidRPr="00420EF0">
        <w:rPr>
          <w:rFonts w:ascii="Times New Roman" w:hAnsi="Times New Roman"/>
          <w:sz w:val="24"/>
        </w:rPr>
        <w:t xml:space="preserve">Los resultados anteriores coinciden con los obtenidos por Cruz (2013) donde se encontró que el diámetro no se ve afectado por el ancho de calle. </w:t>
      </w:r>
    </w:p>
    <w:p w:rsidR="00D837AF" w:rsidRPr="00420EF0" w:rsidRDefault="00D837AF" w:rsidP="00D837AF">
      <w:pPr>
        <w:spacing w:after="0" w:line="360" w:lineRule="auto"/>
        <w:jc w:val="both"/>
        <w:rPr>
          <w:rFonts w:ascii="Times New Roman" w:hAnsi="Times New Roman"/>
          <w:sz w:val="24"/>
          <w:szCs w:val="24"/>
        </w:rPr>
      </w:pPr>
      <w:r w:rsidRPr="00420EF0">
        <w:rPr>
          <w:rFonts w:ascii="Times New Roman" w:hAnsi="Times New Roman"/>
          <w:sz w:val="24"/>
          <w:szCs w:val="24"/>
        </w:rPr>
        <w:t xml:space="preserve">A pesar de que no existen diferencias significativas en el índice de madurez para ninguno de los tratamientos estudiados, los tallos mostraban un índice superior en el tratamiento base ancha (Tabla 4). De acuerdo a los resultados obtenidos el estado de madurez en los tres casos se define como insuficientemente maduro o no maduro, esto está influenciado por la edad de la caña planta, no había alcanzado aún los 12 meses de edad y por el comportamiento de los factores agrometeorológicos precipitaciones y temperaturas muy superiores al promedio necesario para alcanzar el estado de madurez deseado para la cosecha de acuerdo con Fernández </w:t>
      </w:r>
      <w:r w:rsidRPr="00420EF0">
        <w:rPr>
          <w:rFonts w:ascii="Times New Roman" w:hAnsi="Times New Roman"/>
          <w:i/>
          <w:sz w:val="24"/>
          <w:szCs w:val="24"/>
        </w:rPr>
        <w:t>et al</w:t>
      </w:r>
      <w:r w:rsidRPr="00420EF0">
        <w:rPr>
          <w:rFonts w:ascii="Times New Roman" w:hAnsi="Times New Roman"/>
          <w:sz w:val="24"/>
          <w:szCs w:val="24"/>
        </w:rPr>
        <w:t xml:space="preserve">. (1990) entre los factores que influyen en la maduración se encuentra el índice de humedad entre un 70 % – 73 % en los tallos, temperaturas del suelo y del aire de 17 </w:t>
      </w:r>
      <w:proofErr w:type="spellStart"/>
      <w:r w:rsidRPr="00420EF0">
        <w:rPr>
          <w:rFonts w:ascii="Times New Roman" w:hAnsi="Times New Roman"/>
          <w:sz w:val="24"/>
          <w:szCs w:val="24"/>
          <w:vertAlign w:val="superscript"/>
        </w:rPr>
        <w:t>o</w:t>
      </w:r>
      <w:r w:rsidRPr="00420EF0">
        <w:rPr>
          <w:rFonts w:ascii="Times New Roman" w:hAnsi="Times New Roman"/>
          <w:sz w:val="24"/>
          <w:szCs w:val="24"/>
        </w:rPr>
        <w:t>C.</w:t>
      </w:r>
      <w:proofErr w:type="spellEnd"/>
      <w:r w:rsidRPr="00420EF0">
        <w:rPr>
          <w:rFonts w:ascii="Times New Roman" w:hAnsi="Times New Roman"/>
          <w:sz w:val="24"/>
          <w:szCs w:val="24"/>
        </w:rPr>
        <w:t xml:space="preserve"> En las condiciones experimentales estudiadas estos factores se presentaron por encima de la media histórica para la zona.</w:t>
      </w:r>
    </w:p>
    <w:p w:rsidR="00D837AF" w:rsidRPr="00420EF0" w:rsidRDefault="00D837AF" w:rsidP="00D837AF">
      <w:pPr>
        <w:widowControl w:val="0"/>
        <w:autoSpaceDE w:val="0"/>
        <w:autoSpaceDN w:val="0"/>
        <w:adjustRightInd w:val="0"/>
        <w:spacing w:after="0" w:line="240" w:lineRule="atLeast"/>
        <w:jc w:val="center"/>
        <w:rPr>
          <w:rFonts w:ascii="Times New Roman" w:eastAsia="Times New Roman" w:hAnsi="Times New Roman"/>
          <w:color w:val="000000"/>
          <w:szCs w:val="24"/>
        </w:rPr>
      </w:pPr>
      <w:r w:rsidRPr="00420EF0">
        <w:rPr>
          <w:rFonts w:ascii="Times New Roman" w:eastAsia="Times New Roman" w:hAnsi="Times New Roman"/>
          <w:color w:val="000000"/>
          <w:szCs w:val="24"/>
        </w:rPr>
        <w:t>Tabla 4. Brix superior e inferior e índice de madurez del cultivar C90-469 a los 340 ddp</w:t>
      </w:r>
    </w:p>
    <w:p w:rsidR="00D837AF" w:rsidRPr="00420EF0" w:rsidRDefault="00D837AF" w:rsidP="00D837AF">
      <w:pPr>
        <w:widowControl w:val="0"/>
        <w:autoSpaceDE w:val="0"/>
        <w:autoSpaceDN w:val="0"/>
        <w:adjustRightInd w:val="0"/>
        <w:spacing w:after="0" w:line="240" w:lineRule="atLeast"/>
        <w:rPr>
          <w:rFonts w:ascii="Times New Roman" w:eastAsia="Times New Roman" w:hAnsi="Times New Roman"/>
          <w:color w:val="000000"/>
          <w:szCs w:val="24"/>
        </w:rPr>
      </w:pPr>
    </w:p>
    <w:tbl>
      <w:tblPr>
        <w:tblW w:w="8051" w:type="dxa"/>
        <w:jc w:val="center"/>
        <w:tblBorders>
          <w:top w:val="single" w:sz="4" w:space="0" w:color="7F7F7F"/>
          <w:bottom w:val="single" w:sz="4" w:space="0" w:color="7F7F7F"/>
        </w:tblBorders>
        <w:tblLook w:val="04A0" w:firstRow="1" w:lastRow="0" w:firstColumn="1" w:lastColumn="0" w:noHBand="0" w:noVBand="1"/>
      </w:tblPr>
      <w:tblGrid>
        <w:gridCol w:w="2048"/>
        <w:gridCol w:w="1895"/>
        <w:gridCol w:w="2054"/>
        <w:gridCol w:w="2054"/>
      </w:tblGrid>
      <w:tr w:rsidR="00D837AF" w:rsidRPr="00420EF0" w:rsidTr="00F852F2">
        <w:trPr>
          <w:jc w:val="center"/>
        </w:trPr>
        <w:tc>
          <w:tcPr>
            <w:tcW w:w="2048" w:type="dxa"/>
            <w:tcBorders>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bCs/>
                <w:color w:val="000000"/>
                <w:sz w:val="24"/>
                <w:szCs w:val="24"/>
              </w:rPr>
            </w:pPr>
            <w:r w:rsidRPr="00420EF0">
              <w:rPr>
                <w:rFonts w:ascii="Times New Roman" w:eastAsia="Times New Roman" w:hAnsi="Times New Roman"/>
                <w:bCs/>
                <w:color w:val="000000"/>
                <w:sz w:val="24"/>
                <w:szCs w:val="24"/>
              </w:rPr>
              <w:t>Tratamientos (Marco de plantación)</w:t>
            </w:r>
          </w:p>
        </w:tc>
        <w:tc>
          <w:tcPr>
            <w:tcW w:w="1895" w:type="dxa"/>
            <w:tcBorders>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hAnsi="Times New Roman"/>
                <w:bCs/>
                <w:sz w:val="24"/>
                <w:szCs w:val="24"/>
              </w:rPr>
            </w:pPr>
            <w:r w:rsidRPr="00420EF0">
              <w:rPr>
                <w:rFonts w:ascii="Times New Roman" w:eastAsia="Times New Roman" w:hAnsi="Times New Roman"/>
                <w:bCs/>
                <w:color w:val="000000"/>
                <w:sz w:val="24"/>
                <w:szCs w:val="24"/>
              </w:rPr>
              <w:t>Brix inferior 340 ddp</w:t>
            </w:r>
          </w:p>
        </w:tc>
        <w:tc>
          <w:tcPr>
            <w:tcW w:w="2054" w:type="dxa"/>
            <w:tcBorders>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bCs/>
                <w:color w:val="000000"/>
                <w:sz w:val="24"/>
                <w:szCs w:val="24"/>
              </w:rPr>
            </w:pPr>
            <w:r w:rsidRPr="00420EF0">
              <w:rPr>
                <w:rFonts w:ascii="Times New Roman" w:eastAsia="Times New Roman" w:hAnsi="Times New Roman"/>
                <w:bCs/>
                <w:color w:val="000000"/>
                <w:sz w:val="24"/>
                <w:szCs w:val="24"/>
              </w:rPr>
              <w:t>Brix superior 340 ddp</w:t>
            </w:r>
          </w:p>
        </w:tc>
        <w:tc>
          <w:tcPr>
            <w:tcW w:w="2054" w:type="dxa"/>
            <w:tcBorders>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bCs/>
                <w:color w:val="000000"/>
                <w:sz w:val="24"/>
                <w:szCs w:val="24"/>
              </w:rPr>
            </w:pPr>
            <w:r w:rsidRPr="00420EF0">
              <w:rPr>
                <w:rFonts w:ascii="Times New Roman" w:eastAsia="Times New Roman" w:hAnsi="Times New Roman"/>
                <w:bCs/>
                <w:color w:val="000000"/>
                <w:sz w:val="24"/>
                <w:szCs w:val="24"/>
              </w:rPr>
              <w:t>Índice de madurez</w:t>
            </w:r>
          </w:p>
        </w:tc>
      </w:tr>
      <w:tr w:rsidR="00D837AF" w:rsidRPr="00420EF0" w:rsidTr="00F852F2">
        <w:trPr>
          <w:jc w:val="center"/>
        </w:trPr>
        <w:tc>
          <w:tcPr>
            <w:tcW w:w="2048"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bCs/>
                <w:sz w:val="24"/>
                <w:szCs w:val="24"/>
              </w:rPr>
            </w:pPr>
            <w:r w:rsidRPr="00420EF0">
              <w:rPr>
                <w:rFonts w:ascii="Times New Roman" w:eastAsia="Times New Roman" w:hAnsi="Times New Roman"/>
                <w:bCs/>
                <w:sz w:val="24"/>
                <w:szCs w:val="24"/>
              </w:rPr>
              <w:t>1,40m</w:t>
            </w:r>
          </w:p>
        </w:tc>
        <w:tc>
          <w:tcPr>
            <w:tcW w:w="1895"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sz w:val="24"/>
                <w:szCs w:val="24"/>
              </w:rPr>
            </w:pPr>
            <w:r w:rsidRPr="00420EF0">
              <w:rPr>
                <w:rFonts w:ascii="Times New Roman" w:eastAsia="Times New Roman" w:hAnsi="Times New Roman"/>
                <w:sz w:val="24"/>
                <w:szCs w:val="24"/>
              </w:rPr>
              <w:t>18,8ab</w:t>
            </w:r>
          </w:p>
        </w:tc>
        <w:tc>
          <w:tcPr>
            <w:tcW w:w="2054"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sz w:val="24"/>
                <w:szCs w:val="24"/>
              </w:rPr>
            </w:pPr>
            <w:r w:rsidRPr="00420EF0">
              <w:rPr>
                <w:rFonts w:ascii="Times New Roman" w:eastAsia="Times New Roman" w:hAnsi="Times New Roman"/>
                <w:sz w:val="24"/>
                <w:szCs w:val="24"/>
              </w:rPr>
              <w:t>16,6b</w:t>
            </w:r>
          </w:p>
        </w:tc>
        <w:tc>
          <w:tcPr>
            <w:tcW w:w="2054"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sz w:val="24"/>
                <w:szCs w:val="24"/>
              </w:rPr>
            </w:pPr>
            <w:r w:rsidRPr="00420EF0">
              <w:rPr>
                <w:rFonts w:ascii="Times New Roman" w:eastAsia="Times New Roman" w:hAnsi="Times New Roman"/>
                <w:sz w:val="24"/>
                <w:szCs w:val="24"/>
              </w:rPr>
              <w:t>0,88a</w:t>
            </w:r>
          </w:p>
        </w:tc>
      </w:tr>
      <w:tr w:rsidR="00D837AF" w:rsidRPr="00420EF0" w:rsidTr="00F852F2">
        <w:trPr>
          <w:jc w:val="center"/>
        </w:trPr>
        <w:tc>
          <w:tcPr>
            <w:tcW w:w="2048" w:type="dxa"/>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bCs/>
                <w:sz w:val="24"/>
                <w:szCs w:val="24"/>
              </w:rPr>
            </w:pPr>
            <w:r w:rsidRPr="00420EF0">
              <w:rPr>
                <w:rFonts w:ascii="Times New Roman" w:eastAsia="Times New Roman" w:hAnsi="Times New Roman"/>
                <w:bCs/>
                <w:sz w:val="24"/>
                <w:szCs w:val="24"/>
              </w:rPr>
              <w:t>Base ancha</w:t>
            </w:r>
          </w:p>
        </w:tc>
        <w:tc>
          <w:tcPr>
            <w:tcW w:w="1895" w:type="dxa"/>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sz w:val="24"/>
                <w:szCs w:val="24"/>
              </w:rPr>
            </w:pPr>
            <w:r w:rsidRPr="00420EF0">
              <w:rPr>
                <w:rFonts w:ascii="Times New Roman" w:eastAsia="Times New Roman" w:hAnsi="Times New Roman"/>
                <w:sz w:val="24"/>
                <w:szCs w:val="24"/>
              </w:rPr>
              <w:t>19,8a</w:t>
            </w:r>
          </w:p>
        </w:tc>
        <w:tc>
          <w:tcPr>
            <w:tcW w:w="2054" w:type="dxa"/>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sz w:val="24"/>
                <w:szCs w:val="24"/>
              </w:rPr>
            </w:pPr>
            <w:r w:rsidRPr="00420EF0">
              <w:rPr>
                <w:rFonts w:ascii="Times New Roman" w:eastAsia="Times New Roman" w:hAnsi="Times New Roman"/>
                <w:sz w:val="24"/>
                <w:szCs w:val="24"/>
              </w:rPr>
              <w:t>18,4a</w:t>
            </w:r>
          </w:p>
        </w:tc>
        <w:tc>
          <w:tcPr>
            <w:tcW w:w="2054" w:type="dxa"/>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sz w:val="24"/>
                <w:szCs w:val="24"/>
              </w:rPr>
            </w:pPr>
            <w:r w:rsidRPr="00420EF0">
              <w:rPr>
                <w:rFonts w:ascii="Times New Roman" w:eastAsia="Times New Roman" w:hAnsi="Times New Roman"/>
                <w:sz w:val="24"/>
                <w:szCs w:val="24"/>
              </w:rPr>
              <w:t>0,92a</w:t>
            </w:r>
          </w:p>
        </w:tc>
      </w:tr>
      <w:tr w:rsidR="00D837AF" w:rsidRPr="00420EF0" w:rsidTr="00F852F2">
        <w:trPr>
          <w:jc w:val="center"/>
        </w:trPr>
        <w:tc>
          <w:tcPr>
            <w:tcW w:w="2048"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bCs/>
                <w:sz w:val="24"/>
                <w:szCs w:val="24"/>
              </w:rPr>
            </w:pPr>
            <w:r w:rsidRPr="00420EF0">
              <w:rPr>
                <w:rFonts w:ascii="Times New Roman" w:eastAsia="Times New Roman" w:hAnsi="Times New Roman"/>
                <w:bCs/>
                <w:sz w:val="24"/>
                <w:szCs w:val="24"/>
              </w:rPr>
              <w:t>1,60m</w:t>
            </w:r>
          </w:p>
        </w:tc>
        <w:tc>
          <w:tcPr>
            <w:tcW w:w="1895"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sz w:val="24"/>
                <w:szCs w:val="24"/>
              </w:rPr>
            </w:pPr>
            <w:r w:rsidRPr="00420EF0">
              <w:rPr>
                <w:rFonts w:ascii="Times New Roman" w:eastAsia="Times New Roman" w:hAnsi="Times New Roman"/>
                <w:sz w:val="24"/>
                <w:szCs w:val="24"/>
              </w:rPr>
              <w:t>18,4b</w:t>
            </w:r>
          </w:p>
        </w:tc>
        <w:tc>
          <w:tcPr>
            <w:tcW w:w="2054"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sz w:val="24"/>
                <w:szCs w:val="24"/>
              </w:rPr>
            </w:pPr>
            <w:r w:rsidRPr="00420EF0">
              <w:rPr>
                <w:rFonts w:ascii="Times New Roman" w:eastAsia="Times New Roman" w:hAnsi="Times New Roman"/>
                <w:sz w:val="24"/>
                <w:szCs w:val="24"/>
              </w:rPr>
              <w:t>16,0b</w:t>
            </w:r>
          </w:p>
        </w:tc>
        <w:tc>
          <w:tcPr>
            <w:tcW w:w="2054"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sz w:val="24"/>
                <w:szCs w:val="24"/>
              </w:rPr>
            </w:pPr>
            <w:r w:rsidRPr="00420EF0">
              <w:rPr>
                <w:rFonts w:ascii="Times New Roman" w:eastAsia="Times New Roman" w:hAnsi="Times New Roman"/>
                <w:sz w:val="24"/>
                <w:szCs w:val="24"/>
              </w:rPr>
              <w:t>0,85a</w:t>
            </w:r>
          </w:p>
        </w:tc>
      </w:tr>
      <w:tr w:rsidR="00D837AF" w:rsidRPr="00420EF0" w:rsidTr="00F852F2">
        <w:trPr>
          <w:jc w:val="center"/>
        </w:trPr>
        <w:tc>
          <w:tcPr>
            <w:tcW w:w="2048" w:type="dxa"/>
            <w:shd w:val="clear" w:color="auto" w:fill="auto"/>
          </w:tcPr>
          <w:p w:rsidR="00D837AF" w:rsidRPr="00420EF0" w:rsidRDefault="00D837AF" w:rsidP="00F852F2">
            <w:pPr>
              <w:spacing w:after="0" w:line="240" w:lineRule="atLeast"/>
              <w:jc w:val="center"/>
              <w:rPr>
                <w:rFonts w:ascii="Times New Roman" w:eastAsia="Times New Roman" w:hAnsi="Times New Roman"/>
                <w:bCs/>
                <w:sz w:val="24"/>
                <w:szCs w:val="24"/>
              </w:rPr>
            </w:pPr>
            <w:r w:rsidRPr="00420EF0">
              <w:rPr>
                <w:rFonts w:ascii="Times New Roman" w:eastAsia="Times New Roman" w:hAnsi="Times New Roman"/>
                <w:bCs/>
                <w:color w:val="000000"/>
                <w:sz w:val="24"/>
                <w:szCs w:val="24"/>
              </w:rPr>
              <w:t>EE</w:t>
            </w:r>
            <m:oMath>
              <m:acc>
                <m:accPr>
                  <m:chr m:val="̅"/>
                  <m:ctrlPr>
                    <w:rPr>
                      <w:rFonts w:ascii="Cambria Math" w:eastAsia="Times New Roman" w:hAnsi="Cambria Math"/>
                      <w:i/>
                      <w:sz w:val="24"/>
                      <w:szCs w:val="24"/>
                    </w:rPr>
                  </m:ctrlPr>
                </m:accPr>
                <m:e>
                  <m:r>
                    <w:rPr>
                      <w:rFonts w:ascii="Cambria Math" w:hAnsi="Cambria Math"/>
                      <w:sz w:val="24"/>
                      <w:szCs w:val="24"/>
                    </w:rPr>
                    <m:t>X</m:t>
                  </m:r>
                </m:e>
              </m:acc>
            </m:oMath>
            <w:r w:rsidRPr="00420EF0">
              <w:rPr>
                <w:rFonts w:ascii="Times New Roman" w:eastAsia="Times New Roman" w:hAnsi="Times New Roman"/>
                <w:bCs/>
                <w:sz w:val="24"/>
                <w:szCs w:val="24"/>
              </w:rPr>
              <w:t xml:space="preserve"> ±</w:t>
            </w:r>
          </w:p>
        </w:tc>
        <w:tc>
          <w:tcPr>
            <w:tcW w:w="1895" w:type="dxa"/>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sz w:val="24"/>
                <w:szCs w:val="24"/>
              </w:rPr>
            </w:pPr>
            <w:r w:rsidRPr="00420EF0">
              <w:rPr>
                <w:rFonts w:ascii="Times New Roman" w:eastAsia="Times New Roman" w:hAnsi="Times New Roman"/>
                <w:sz w:val="24"/>
                <w:szCs w:val="24"/>
              </w:rPr>
              <w:t>0,47</w:t>
            </w:r>
          </w:p>
        </w:tc>
        <w:tc>
          <w:tcPr>
            <w:tcW w:w="2054" w:type="dxa"/>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sz w:val="24"/>
                <w:szCs w:val="24"/>
              </w:rPr>
            </w:pPr>
            <w:r w:rsidRPr="00420EF0">
              <w:rPr>
                <w:rFonts w:ascii="Times New Roman" w:eastAsia="Times New Roman" w:hAnsi="Times New Roman"/>
                <w:sz w:val="24"/>
                <w:szCs w:val="24"/>
              </w:rPr>
              <w:t>0,56</w:t>
            </w:r>
          </w:p>
        </w:tc>
        <w:tc>
          <w:tcPr>
            <w:tcW w:w="2054" w:type="dxa"/>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sz w:val="24"/>
                <w:szCs w:val="24"/>
              </w:rPr>
            </w:pPr>
            <w:r w:rsidRPr="00420EF0">
              <w:rPr>
                <w:rFonts w:ascii="Times New Roman" w:eastAsia="Times New Roman" w:hAnsi="Times New Roman"/>
                <w:sz w:val="24"/>
                <w:szCs w:val="24"/>
              </w:rPr>
              <w:t>0,02</w:t>
            </w:r>
          </w:p>
        </w:tc>
      </w:tr>
    </w:tbl>
    <w:p w:rsidR="00D837AF" w:rsidRPr="00420EF0" w:rsidRDefault="00D837AF" w:rsidP="00D837AF">
      <w:pPr>
        <w:widowControl w:val="0"/>
        <w:autoSpaceDE w:val="0"/>
        <w:autoSpaceDN w:val="0"/>
        <w:adjustRightInd w:val="0"/>
        <w:spacing w:after="0" w:line="240" w:lineRule="atLeast"/>
        <w:rPr>
          <w:rFonts w:ascii="Times New Roman" w:eastAsia="Times New Roman" w:hAnsi="Times New Roman"/>
          <w:color w:val="000000"/>
          <w:sz w:val="24"/>
          <w:szCs w:val="24"/>
        </w:rPr>
      </w:pPr>
    </w:p>
    <w:p w:rsidR="00D837AF" w:rsidRPr="00420EF0" w:rsidRDefault="00D837AF" w:rsidP="00D837AF">
      <w:pPr>
        <w:widowControl w:val="0"/>
        <w:autoSpaceDE w:val="0"/>
        <w:autoSpaceDN w:val="0"/>
        <w:adjustRightInd w:val="0"/>
        <w:spacing w:after="0" w:line="240" w:lineRule="atLeast"/>
        <w:rPr>
          <w:rFonts w:ascii="Times New Roman" w:eastAsia="Times New Roman" w:hAnsi="Times New Roman"/>
          <w:color w:val="000000"/>
          <w:szCs w:val="24"/>
        </w:rPr>
      </w:pPr>
      <w:r w:rsidRPr="00420EF0">
        <w:rPr>
          <w:rFonts w:ascii="Times New Roman" w:eastAsia="Times New Roman" w:hAnsi="Times New Roman"/>
          <w:color w:val="000000"/>
          <w:sz w:val="24"/>
          <w:szCs w:val="24"/>
        </w:rPr>
        <w:t>(</w:t>
      </w:r>
      <w:proofErr w:type="spellStart"/>
      <w:proofErr w:type="gramStart"/>
      <w:r w:rsidRPr="00420EF0">
        <w:rPr>
          <w:rFonts w:ascii="Times New Roman" w:eastAsia="Times New Roman" w:hAnsi="Times New Roman"/>
          <w:color w:val="000000"/>
          <w:szCs w:val="24"/>
        </w:rPr>
        <w:t>a,</w:t>
      </w:r>
      <w:proofErr w:type="gramEnd"/>
      <w:r w:rsidRPr="00420EF0">
        <w:rPr>
          <w:rFonts w:ascii="Times New Roman" w:eastAsia="Times New Roman" w:hAnsi="Times New Roman"/>
          <w:color w:val="000000"/>
          <w:szCs w:val="24"/>
        </w:rPr>
        <w:t>b,c</w:t>
      </w:r>
      <w:proofErr w:type="spellEnd"/>
      <w:r w:rsidRPr="00420EF0">
        <w:rPr>
          <w:rFonts w:ascii="Times New Roman" w:eastAsia="Times New Roman" w:hAnsi="Times New Roman"/>
          <w:color w:val="000000"/>
          <w:szCs w:val="24"/>
        </w:rPr>
        <w:t xml:space="preserve">) medias con letras no comunes en una misma columna difieren por LSD para </w:t>
      </w:r>
    </w:p>
    <w:p w:rsidR="00D837AF" w:rsidRPr="00420EF0" w:rsidRDefault="00D837AF" w:rsidP="00D837AF">
      <w:pPr>
        <w:widowControl w:val="0"/>
        <w:autoSpaceDE w:val="0"/>
        <w:autoSpaceDN w:val="0"/>
        <w:adjustRightInd w:val="0"/>
        <w:spacing w:after="0" w:line="240" w:lineRule="atLeast"/>
        <w:rPr>
          <w:rFonts w:ascii="Times New Roman" w:eastAsia="Times New Roman" w:hAnsi="Times New Roman"/>
          <w:color w:val="000000"/>
          <w:szCs w:val="24"/>
        </w:rPr>
      </w:pPr>
      <w:r w:rsidRPr="00420EF0">
        <w:rPr>
          <w:rFonts w:ascii="Times New Roman" w:eastAsia="Times New Roman" w:hAnsi="Times New Roman"/>
          <w:color w:val="000000"/>
          <w:szCs w:val="24"/>
        </w:rPr>
        <w:t>p ≤ 0,05</w:t>
      </w:r>
      <w:r>
        <w:rPr>
          <w:rFonts w:ascii="Times New Roman" w:eastAsia="Times New Roman" w:hAnsi="Times New Roman"/>
          <w:color w:val="000000"/>
          <w:szCs w:val="24"/>
        </w:rPr>
        <w:t xml:space="preserve">; </w:t>
      </w:r>
      <w:r w:rsidRPr="00420EF0">
        <w:rPr>
          <w:rFonts w:ascii="Times New Roman" w:eastAsia="Times New Roman" w:hAnsi="Times New Roman"/>
          <w:color w:val="000000"/>
          <w:szCs w:val="24"/>
        </w:rPr>
        <w:t>ddp: días después de plantada</w:t>
      </w:r>
    </w:p>
    <w:p w:rsidR="00D837AF" w:rsidRPr="00420EF0" w:rsidRDefault="00D837AF" w:rsidP="00D837AF">
      <w:pPr>
        <w:spacing w:after="0" w:line="360" w:lineRule="auto"/>
        <w:jc w:val="both"/>
        <w:rPr>
          <w:rFonts w:ascii="Times New Roman" w:hAnsi="Times New Roman"/>
          <w:sz w:val="24"/>
          <w:szCs w:val="24"/>
        </w:rPr>
      </w:pPr>
      <w:r w:rsidRPr="00420EF0">
        <w:rPr>
          <w:rFonts w:ascii="Times New Roman" w:hAnsi="Times New Roman"/>
          <w:sz w:val="24"/>
        </w:rPr>
        <w:t>El promedio de tallos por metro lineal fue superior en el surco de base ancha (Tabla 5). Precisamente, el incremento del número de tallos por unidad de área que se obtiene con esta tecnología es lo más importante, por su marcado efecto en el rendimiento agrícola.</w:t>
      </w:r>
      <w:r w:rsidRPr="00420EF0">
        <w:rPr>
          <w:rFonts w:ascii="Times New Roman" w:eastAsia="Times New Roman" w:hAnsi="Times New Roman"/>
          <w:sz w:val="24"/>
          <w:szCs w:val="24"/>
          <w:lang w:val="es-ES_tradnl"/>
        </w:rPr>
        <w:t xml:space="preserve"> Según </w:t>
      </w:r>
      <w:r w:rsidRPr="00420EF0">
        <w:rPr>
          <w:rFonts w:ascii="Times New Roman" w:hAnsi="Times New Roman"/>
          <w:sz w:val="24"/>
        </w:rPr>
        <w:t xml:space="preserve">Jorge </w:t>
      </w:r>
      <w:r w:rsidRPr="00420EF0">
        <w:rPr>
          <w:rFonts w:ascii="Times New Roman" w:hAnsi="Times New Roman"/>
          <w:i/>
          <w:sz w:val="24"/>
        </w:rPr>
        <w:t>et al</w:t>
      </w:r>
      <w:r w:rsidRPr="00420EF0">
        <w:rPr>
          <w:rFonts w:ascii="Times New Roman" w:hAnsi="Times New Roman"/>
          <w:sz w:val="24"/>
        </w:rPr>
        <w:t xml:space="preserve">. (2010b) el cultivar C90-469 </w:t>
      </w:r>
      <w:r w:rsidRPr="00420EF0">
        <w:rPr>
          <w:rFonts w:ascii="Times New Roman" w:eastAsia="Times New Roman" w:hAnsi="Times New Roman"/>
          <w:sz w:val="24"/>
          <w:szCs w:val="24"/>
          <w:lang w:val="es-ES_tradnl"/>
        </w:rPr>
        <w:t xml:space="preserve">se caracteriza por una población de 14 tallos por metro lineal. </w:t>
      </w:r>
      <w:proofErr w:type="spellStart"/>
      <w:r w:rsidRPr="00420EF0">
        <w:rPr>
          <w:rFonts w:ascii="Times New Roman" w:hAnsi="Times New Roman"/>
          <w:sz w:val="24"/>
          <w:szCs w:val="24"/>
        </w:rPr>
        <w:t>Chowing</w:t>
      </w:r>
      <w:proofErr w:type="spellEnd"/>
      <w:r w:rsidRPr="00420EF0">
        <w:rPr>
          <w:rFonts w:ascii="Times New Roman" w:hAnsi="Times New Roman"/>
          <w:sz w:val="24"/>
          <w:szCs w:val="24"/>
        </w:rPr>
        <w:t xml:space="preserve"> (2005), reporta que, con la plantación en surcos dobles, se obtiene un incremento significativo del rendimiento en caña y se mejora el rendimiento de las máquinas cosechadoras. </w:t>
      </w:r>
    </w:p>
    <w:p w:rsidR="00D837AF" w:rsidRPr="00420EF0" w:rsidRDefault="00D837AF" w:rsidP="00D837AF">
      <w:pPr>
        <w:spacing w:after="0" w:line="360" w:lineRule="auto"/>
        <w:jc w:val="both"/>
        <w:rPr>
          <w:rFonts w:ascii="Times New Roman" w:hAnsi="Times New Roman"/>
          <w:sz w:val="24"/>
          <w:szCs w:val="24"/>
        </w:rPr>
      </w:pPr>
      <w:r>
        <w:rPr>
          <w:rFonts w:ascii="Times New Roman" w:hAnsi="Times New Roman"/>
          <w:sz w:val="24"/>
          <w:szCs w:val="24"/>
        </w:rPr>
        <w:t>El marco de plantación b</w:t>
      </w:r>
      <w:r w:rsidRPr="00420EF0">
        <w:rPr>
          <w:rFonts w:ascii="Times New Roman" w:hAnsi="Times New Roman"/>
          <w:sz w:val="24"/>
          <w:szCs w:val="24"/>
        </w:rPr>
        <w:t>ase ancha permitió incrementos del rendimiento en 61,7 % en relación con el sistema tradicional a 1,60 m, el número de tallos se incrementó en 21 % por unidad de área (ha), permite disponer de mayor número de tallos por hectáreas para ser utilizados como semilla sin diferencias significativas en relación al diámetro, o para ser cosechados durante la zafra para su molida en la industria.</w:t>
      </w:r>
    </w:p>
    <w:p w:rsidR="00D837AF" w:rsidRPr="00420EF0" w:rsidRDefault="00D837AF" w:rsidP="00D837AF">
      <w:pPr>
        <w:spacing w:after="0" w:line="240" w:lineRule="atLeast"/>
        <w:jc w:val="center"/>
        <w:rPr>
          <w:rFonts w:ascii="Times New Roman" w:hAnsi="Times New Roman"/>
          <w:szCs w:val="24"/>
        </w:rPr>
      </w:pPr>
      <w:r w:rsidRPr="00420EF0">
        <w:rPr>
          <w:rFonts w:ascii="Times New Roman" w:hAnsi="Times New Roman"/>
          <w:szCs w:val="24"/>
        </w:rPr>
        <w:t xml:space="preserve">Tabla </w:t>
      </w:r>
      <w:r>
        <w:rPr>
          <w:rFonts w:ascii="Times New Roman" w:hAnsi="Times New Roman"/>
          <w:szCs w:val="24"/>
        </w:rPr>
        <w:t>5</w:t>
      </w:r>
      <w:r w:rsidRPr="00420EF0">
        <w:rPr>
          <w:rFonts w:ascii="Times New Roman" w:hAnsi="Times New Roman"/>
          <w:szCs w:val="24"/>
        </w:rPr>
        <w:t>. Componentes del rendimiento agrícola según tratamientos</w:t>
      </w:r>
    </w:p>
    <w:tbl>
      <w:tblPr>
        <w:tblW w:w="7100" w:type="dxa"/>
        <w:jc w:val="center"/>
        <w:tblBorders>
          <w:top w:val="single" w:sz="4" w:space="0" w:color="7F7F7F"/>
          <w:bottom w:val="single" w:sz="4" w:space="0" w:color="7F7F7F"/>
        </w:tblBorders>
        <w:tblLook w:val="04A0" w:firstRow="1" w:lastRow="0" w:firstColumn="1" w:lastColumn="0" w:noHBand="0" w:noVBand="1"/>
      </w:tblPr>
      <w:tblGrid>
        <w:gridCol w:w="1724"/>
        <w:gridCol w:w="1437"/>
        <w:gridCol w:w="1257"/>
        <w:gridCol w:w="1257"/>
        <w:gridCol w:w="1425"/>
      </w:tblGrid>
      <w:tr w:rsidR="00D837AF" w:rsidRPr="00420EF0" w:rsidTr="00F852F2">
        <w:trPr>
          <w:trHeight w:val="773"/>
          <w:jc w:val="center"/>
        </w:trPr>
        <w:tc>
          <w:tcPr>
            <w:tcW w:w="1724" w:type="dxa"/>
            <w:tcBorders>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bCs/>
                <w:color w:val="000000"/>
                <w:sz w:val="24"/>
                <w:szCs w:val="24"/>
              </w:rPr>
            </w:pPr>
            <w:r w:rsidRPr="00420EF0">
              <w:rPr>
                <w:rFonts w:ascii="Times New Roman" w:eastAsia="Times New Roman" w:hAnsi="Times New Roman"/>
                <w:bCs/>
                <w:color w:val="000000"/>
                <w:sz w:val="24"/>
                <w:szCs w:val="24"/>
              </w:rPr>
              <w:t>Tratamientos (Marco de plantación)</w:t>
            </w:r>
          </w:p>
        </w:tc>
        <w:tc>
          <w:tcPr>
            <w:tcW w:w="1437" w:type="dxa"/>
            <w:tcBorders>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bCs/>
                <w:color w:val="000000"/>
                <w:sz w:val="24"/>
                <w:szCs w:val="24"/>
              </w:rPr>
            </w:pPr>
            <w:r w:rsidRPr="00420EF0">
              <w:rPr>
                <w:rFonts w:ascii="Times New Roman" w:eastAsia="Times New Roman" w:hAnsi="Times New Roman"/>
                <w:bCs/>
                <w:color w:val="000000"/>
                <w:sz w:val="24"/>
                <w:szCs w:val="24"/>
              </w:rPr>
              <w:t>Promedio de tallos por metro lineal</w:t>
            </w:r>
          </w:p>
        </w:tc>
        <w:tc>
          <w:tcPr>
            <w:tcW w:w="1257" w:type="dxa"/>
            <w:tcBorders>
              <w:bottom w:val="single" w:sz="4" w:space="0" w:color="7F7F7F"/>
            </w:tcBorders>
          </w:tcPr>
          <w:p w:rsidR="00D837AF" w:rsidRPr="00420EF0" w:rsidRDefault="00D837AF" w:rsidP="00F852F2">
            <w:pPr>
              <w:spacing w:after="0" w:line="240" w:lineRule="atLeast"/>
              <w:jc w:val="center"/>
              <w:rPr>
                <w:rFonts w:ascii="Times New Roman" w:hAnsi="Times New Roman"/>
                <w:sz w:val="24"/>
                <w:szCs w:val="24"/>
              </w:rPr>
            </w:pPr>
            <w:r w:rsidRPr="00420EF0">
              <w:rPr>
                <w:rFonts w:ascii="Times New Roman" w:hAnsi="Times New Roman"/>
                <w:sz w:val="24"/>
                <w:szCs w:val="24"/>
              </w:rPr>
              <w:t>Metros lineales en 1ha</w:t>
            </w:r>
          </w:p>
        </w:tc>
        <w:tc>
          <w:tcPr>
            <w:tcW w:w="1257" w:type="dxa"/>
            <w:tcBorders>
              <w:bottom w:val="single" w:sz="4" w:space="0" w:color="7F7F7F"/>
            </w:tcBorders>
          </w:tcPr>
          <w:p w:rsidR="00D837AF" w:rsidRPr="00420EF0" w:rsidRDefault="00D837AF" w:rsidP="00F852F2">
            <w:pPr>
              <w:spacing w:after="0" w:line="240" w:lineRule="atLeast"/>
              <w:jc w:val="center"/>
              <w:rPr>
                <w:rFonts w:ascii="Times New Roman" w:hAnsi="Times New Roman"/>
                <w:sz w:val="24"/>
                <w:szCs w:val="24"/>
              </w:rPr>
            </w:pPr>
            <w:r w:rsidRPr="00420EF0">
              <w:rPr>
                <w:rFonts w:ascii="Times New Roman" w:hAnsi="Times New Roman"/>
                <w:sz w:val="24"/>
                <w:szCs w:val="24"/>
              </w:rPr>
              <w:t>Tallos/ha</w:t>
            </w:r>
          </w:p>
        </w:tc>
        <w:tc>
          <w:tcPr>
            <w:tcW w:w="1425" w:type="dxa"/>
            <w:tcBorders>
              <w:bottom w:val="single" w:sz="4" w:space="0" w:color="7F7F7F"/>
            </w:tcBorders>
            <w:shd w:val="clear" w:color="auto" w:fill="auto"/>
          </w:tcPr>
          <w:p w:rsidR="00D837AF" w:rsidRPr="00420EF0" w:rsidRDefault="00D837AF" w:rsidP="00F852F2">
            <w:pPr>
              <w:spacing w:after="0" w:line="240" w:lineRule="atLeast"/>
              <w:jc w:val="center"/>
              <w:rPr>
                <w:rFonts w:ascii="Times New Roman" w:hAnsi="Times New Roman"/>
                <w:sz w:val="24"/>
                <w:szCs w:val="24"/>
              </w:rPr>
            </w:pPr>
            <w:r w:rsidRPr="00420EF0">
              <w:rPr>
                <w:rFonts w:ascii="Times New Roman" w:hAnsi="Times New Roman"/>
                <w:sz w:val="24"/>
                <w:szCs w:val="24"/>
              </w:rPr>
              <w:t>Peso promedio por tallo (Kg)</w:t>
            </w:r>
          </w:p>
        </w:tc>
      </w:tr>
      <w:tr w:rsidR="00D837AF" w:rsidRPr="00420EF0" w:rsidTr="00F852F2">
        <w:trPr>
          <w:trHeight w:val="285"/>
          <w:jc w:val="center"/>
        </w:trPr>
        <w:tc>
          <w:tcPr>
            <w:tcW w:w="1724"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bCs/>
                <w:sz w:val="24"/>
                <w:szCs w:val="24"/>
              </w:rPr>
            </w:pPr>
            <w:r w:rsidRPr="00420EF0">
              <w:rPr>
                <w:rFonts w:ascii="Times New Roman" w:eastAsia="Times New Roman" w:hAnsi="Times New Roman"/>
                <w:bCs/>
                <w:sz w:val="24"/>
                <w:szCs w:val="24"/>
              </w:rPr>
              <w:t>1,40m</w:t>
            </w:r>
          </w:p>
        </w:tc>
        <w:tc>
          <w:tcPr>
            <w:tcW w:w="1437" w:type="dxa"/>
            <w:tcBorders>
              <w:top w:val="single" w:sz="4" w:space="0" w:color="7F7F7F"/>
              <w:bottom w:val="single" w:sz="4" w:space="0" w:color="7F7F7F"/>
            </w:tcBorders>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sz w:val="24"/>
                <w:szCs w:val="24"/>
              </w:rPr>
            </w:pPr>
            <w:r w:rsidRPr="00420EF0">
              <w:rPr>
                <w:rFonts w:ascii="Times New Roman" w:eastAsia="Times New Roman" w:hAnsi="Times New Roman"/>
                <w:sz w:val="24"/>
                <w:szCs w:val="24"/>
              </w:rPr>
              <w:t>11,0b</w:t>
            </w:r>
          </w:p>
        </w:tc>
        <w:tc>
          <w:tcPr>
            <w:tcW w:w="1257" w:type="dxa"/>
            <w:tcBorders>
              <w:top w:val="single" w:sz="4" w:space="0" w:color="7F7F7F"/>
              <w:bottom w:val="single" w:sz="4" w:space="0" w:color="7F7F7F"/>
            </w:tcBorders>
          </w:tcPr>
          <w:p w:rsidR="00D837AF" w:rsidRPr="00420EF0" w:rsidRDefault="00D837AF" w:rsidP="00F852F2">
            <w:pPr>
              <w:spacing w:after="0" w:line="240" w:lineRule="atLeast"/>
              <w:jc w:val="center"/>
              <w:rPr>
                <w:rFonts w:ascii="Times New Roman" w:hAnsi="Times New Roman"/>
                <w:sz w:val="24"/>
                <w:szCs w:val="24"/>
              </w:rPr>
            </w:pPr>
            <w:r w:rsidRPr="00420EF0">
              <w:rPr>
                <w:rFonts w:ascii="Times New Roman" w:hAnsi="Times New Roman"/>
                <w:sz w:val="24"/>
                <w:szCs w:val="24"/>
              </w:rPr>
              <w:t>7 142a</w:t>
            </w:r>
          </w:p>
        </w:tc>
        <w:tc>
          <w:tcPr>
            <w:tcW w:w="1257" w:type="dxa"/>
            <w:tcBorders>
              <w:top w:val="single" w:sz="4" w:space="0" w:color="7F7F7F"/>
              <w:bottom w:val="single" w:sz="4" w:space="0" w:color="7F7F7F"/>
            </w:tcBorders>
          </w:tcPr>
          <w:p w:rsidR="00D837AF" w:rsidRPr="00420EF0" w:rsidRDefault="00D837AF" w:rsidP="00F852F2">
            <w:pPr>
              <w:spacing w:after="0" w:line="240" w:lineRule="atLeast"/>
              <w:jc w:val="center"/>
              <w:rPr>
                <w:rFonts w:ascii="Times New Roman" w:hAnsi="Times New Roman"/>
                <w:sz w:val="24"/>
                <w:szCs w:val="24"/>
              </w:rPr>
            </w:pPr>
            <w:r w:rsidRPr="00420EF0">
              <w:rPr>
                <w:rFonts w:ascii="Times New Roman" w:hAnsi="Times New Roman"/>
                <w:sz w:val="24"/>
                <w:szCs w:val="24"/>
              </w:rPr>
              <w:t>78 500b</w:t>
            </w:r>
          </w:p>
        </w:tc>
        <w:tc>
          <w:tcPr>
            <w:tcW w:w="1425" w:type="dxa"/>
            <w:tcBorders>
              <w:top w:val="single" w:sz="4" w:space="0" w:color="7F7F7F"/>
              <w:bottom w:val="single" w:sz="4" w:space="0" w:color="7F7F7F"/>
            </w:tcBorders>
            <w:shd w:val="clear" w:color="auto" w:fill="auto"/>
          </w:tcPr>
          <w:p w:rsidR="00D837AF" w:rsidRPr="00420EF0" w:rsidRDefault="00D837AF" w:rsidP="00F852F2">
            <w:pPr>
              <w:spacing w:after="0" w:line="240" w:lineRule="atLeast"/>
              <w:jc w:val="center"/>
              <w:rPr>
                <w:rFonts w:ascii="Times New Roman" w:hAnsi="Times New Roman"/>
                <w:sz w:val="24"/>
                <w:szCs w:val="24"/>
              </w:rPr>
            </w:pPr>
            <w:r w:rsidRPr="00420EF0">
              <w:rPr>
                <w:rFonts w:ascii="Times New Roman" w:hAnsi="Times New Roman"/>
                <w:sz w:val="24"/>
                <w:szCs w:val="24"/>
              </w:rPr>
              <w:t>2,20b</w:t>
            </w:r>
          </w:p>
        </w:tc>
      </w:tr>
      <w:tr w:rsidR="00D837AF" w:rsidRPr="00420EF0" w:rsidTr="00F852F2">
        <w:trPr>
          <w:trHeight w:val="295"/>
          <w:jc w:val="center"/>
        </w:trPr>
        <w:tc>
          <w:tcPr>
            <w:tcW w:w="1724" w:type="dxa"/>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bCs/>
                <w:sz w:val="24"/>
                <w:szCs w:val="24"/>
              </w:rPr>
            </w:pPr>
            <w:r w:rsidRPr="00420EF0">
              <w:rPr>
                <w:rFonts w:ascii="Times New Roman" w:eastAsia="Times New Roman" w:hAnsi="Times New Roman"/>
                <w:bCs/>
                <w:sz w:val="24"/>
                <w:szCs w:val="24"/>
              </w:rPr>
              <w:t>1,60m</w:t>
            </w:r>
          </w:p>
        </w:tc>
        <w:tc>
          <w:tcPr>
            <w:tcW w:w="1437" w:type="dxa"/>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sz w:val="24"/>
                <w:szCs w:val="24"/>
              </w:rPr>
            </w:pPr>
            <w:r w:rsidRPr="00420EF0">
              <w:rPr>
                <w:rFonts w:ascii="Times New Roman" w:eastAsia="Times New Roman" w:hAnsi="Times New Roman"/>
                <w:sz w:val="24"/>
                <w:szCs w:val="24"/>
              </w:rPr>
              <w:t>11,9b</w:t>
            </w:r>
          </w:p>
        </w:tc>
        <w:tc>
          <w:tcPr>
            <w:tcW w:w="1257" w:type="dxa"/>
          </w:tcPr>
          <w:p w:rsidR="00D837AF" w:rsidRPr="00420EF0" w:rsidRDefault="00D837AF" w:rsidP="00F852F2">
            <w:pPr>
              <w:spacing w:after="0" w:line="240" w:lineRule="atLeast"/>
              <w:jc w:val="center"/>
              <w:rPr>
                <w:rFonts w:ascii="Times New Roman" w:hAnsi="Times New Roman"/>
                <w:sz w:val="24"/>
                <w:szCs w:val="24"/>
              </w:rPr>
            </w:pPr>
            <w:r w:rsidRPr="00420EF0">
              <w:rPr>
                <w:rFonts w:ascii="Times New Roman" w:hAnsi="Times New Roman"/>
                <w:sz w:val="24"/>
                <w:szCs w:val="24"/>
              </w:rPr>
              <w:t>6 250b</w:t>
            </w:r>
          </w:p>
        </w:tc>
        <w:tc>
          <w:tcPr>
            <w:tcW w:w="1257" w:type="dxa"/>
          </w:tcPr>
          <w:p w:rsidR="00D837AF" w:rsidRPr="00420EF0" w:rsidRDefault="00D837AF" w:rsidP="00F852F2">
            <w:pPr>
              <w:spacing w:after="0" w:line="240" w:lineRule="atLeast"/>
              <w:jc w:val="center"/>
              <w:rPr>
                <w:rFonts w:ascii="Times New Roman" w:hAnsi="Times New Roman"/>
                <w:sz w:val="24"/>
                <w:szCs w:val="24"/>
              </w:rPr>
            </w:pPr>
            <w:r w:rsidRPr="00420EF0">
              <w:rPr>
                <w:rFonts w:ascii="Times New Roman" w:hAnsi="Times New Roman"/>
                <w:sz w:val="24"/>
                <w:szCs w:val="24"/>
              </w:rPr>
              <w:t>74 300c</w:t>
            </w:r>
          </w:p>
        </w:tc>
        <w:tc>
          <w:tcPr>
            <w:tcW w:w="1425" w:type="dxa"/>
            <w:shd w:val="clear" w:color="auto" w:fill="auto"/>
          </w:tcPr>
          <w:p w:rsidR="00D837AF" w:rsidRPr="00420EF0" w:rsidRDefault="00D837AF" w:rsidP="00F852F2">
            <w:pPr>
              <w:spacing w:after="0" w:line="240" w:lineRule="atLeast"/>
              <w:jc w:val="center"/>
              <w:rPr>
                <w:rFonts w:ascii="Times New Roman" w:hAnsi="Times New Roman"/>
                <w:sz w:val="24"/>
                <w:szCs w:val="24"/>
              </w:rPr>
            </w:pPr>
            <w:r w:rsidRPr="00420EF0">
              <w:rPr>
                <w:rFonts w:ascii="Times New Roman" w:hAnsi="Times New Roman"/>
                <w:sz w:val="24"/>
                <w:szCs w:val="24"/>
              </w:rPr>
              <w:t>2,71a</w:t>
            </w:r>
          </w:p>
        </w:tc>
      </w:tr>
      <w:tr w:rsidR="00D837AF" w:rsidRPr="00420EF0" w:rsidTr="00F852F2">
        <w:trPr>
          <w:trHeight w:val="295"/>
          <w:jc w:val="center"/>
        </w:trPr>
        <w:tc>
          <w:tcPr>
            <w:tcW w:w="1724" w:type="dxa"/>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bCs/>
                <w:sz w:val="24"/>
                <w:szCs w:val="24"/>
              </w:rPr>
            </w:pPr>
            <w:r w:rsidRPr="00420EF0">
              <w:rPr>
                <w:rFonts w:ascii="Times New Roman" w:eastAsia="Times New Roman" w:hAnsi="Times New Roman"/>
                <w:bCs/>
                <w:sz w:val="24"/>
                <w:szCs w:val="24"/>
              </w:rPr>
              <w:t>Base ancha</w:t>
            </w:r>
          </w:p>
        </w:tc>
        <w:tc>
          <w:tcPr>
            <w:tcW w:w="1437" w:type="dxa"/>
            <w:shd w:val="clear" w:color="auto" w:fill="auto"/>
          </w:tcPr>
          <w:p w:rsidR="00D837AF" w:rsidRPr="00420EF0" w:rsidRDefault="00D837AF" w:rsidP="00F852F2">
            <w:pPr>
              <w:widowControl w:val="0"/>
              <w:autoSpaceDE w:val="0"/>
              <w:autoSpaceDN w:val="0"/>
              <w:adjustRightInd w:val="0"/>
              <w:spacing w:after="0" w:line="240" w:lineRule="atLeast"/>
              <w:jc w:val="center"/>
              <w:rPr>
                <w:rFonts w:ascii="Times New Roman" w:eastAsia="Times New Roman" w:hAnsi="Times New Roman"/>
                <w:sz w:val="24"/>
                <w:szCs w:val="24"/>
              </w:rPr>
            </w:pPr>
            <w:r w:rsidRPr="00420EF0">
              <w:rPr>
                <w:rFonts w:ascii="Times New Roman" w:eastAsia="Times New Roman" w:hAnsi="Times New Roman"/>
                <w:sz w:val="24"/>
                <w:szCs w:val="24"/>
              </w:rPr>
              <w:t>16,2a</w:t>
            </w:r>
          </w:p>
        </w:tc>
        <w:tc>
          <w:tcPr>
            <w:tcW w:w="1257" w:type="dxa"/>
          </w:tcPr>
          <w:p w:rsidR="00D837AF" w:rsidRPr="00420EF0" w:rsidRDefault="00D837AF" w:rsidP="00F852F2">
            <w:pPr>
              <w:spacing w:after="0" w:line="240" w:lineRule="atLeast"/>
              <w:jc w:val="center"/>
              <w:rPr>
                <w:rFonts w:ascii="Times New Roman" w:hAnsi="Times New Roman"/>
                <w:sz w:val="24"/>
                <w:szCs w:val="24"/>
              </w:rPr>
            </w:pPr>
            <w:r w:rsidRPr="00420EF0">
              <w:rPr>
                <w:rFonts w:ascii="Times New Roman" w:hAnsi="Times New Roman"/>
                <w:sz w:val="24"/>
                <w:szCs w:val="24"/>
              </w:rPr>
              <w:t>5 550c</w:t>
            </w:r>
          </w:p>
        </w:tc>
        <w:tc>
          <w:tcPr>
            <w:tcW w:w="1257" w:type="dxa"/>
          </w:tcPr>
          <w:p w:rsidR="00D837AF" w:rsidRPr="00420EF0" w:rsidRDefault="00D837AF" w:rsidP="00F852F2">
            <w:pPr>
              <w:spacing w:after="0" w:line="240" w:lineRule="atLeast"/>
              <w:jc w:val="center"/>
              <w:rPr>
                <w:rFonts w:ascii="Times New Roman" w:hAnsi="Times New Roman"/>
                <w:sz w:val="24"/>
                <w:szCs w:val="24"/>
              </w:rPr>
            </w:pPr>
            <w:r w:rsidRPr="00420EF0">
              <w:rPr>
                <w:rFonts w:ascii="Times New Roman" w:hAnsi="Times New Roman"/>
                <w:sz w:val="24"/>
                <w:szCs w:val="24"/>
              </w:rPr>
              <w:t>89 991a</w:t>
            </w:r>
          </w:p>
          <w:p w:rsidR="00D837AF" w:rsidRPr="00420EF0" w:rsidRDefault="00D837AF" w:rsidP="00F852F2">
            <w:pPr>
              <w:spacing w:after="0" w:line="240" w:lineRule="atLeast"/>
              <w:jc w:val="center"/>
              <w:rPr>
                <w:rFonts w:ascii="Times New Roman" w:hAnsi="Times New Roman"/>
                <w:sz w:val="24"/>
                <w:szCs w:val="24"/>
              </w:rPr>
            </w:pPr>
          </w:p>
        </w:tc>
        <w:tc>
          <w:tcPr>
            <w:tcW w:w="1425" w:type="dxa"/>
            <w:shd w:val="clear" w:color="auto" w:fill="auto"/>
          </w:tcPr>
          <w:p w:rsidR="00D837AF" w:rsidRPr="00420EF0" w:rsidRDefault="00D837AF" w:rsidP="00F852F2">
            <w:pPr>
              <w:spacing w:after="0" w:line="240" w:lineRule="atLeast"/>
              <w:jc w:val="center"/>
              <w:rPr>
                <w:rFonts w:ascii="Times New Roman" w:hAnsi="Times New Roman"/>
                <w:sz w:val="24"/>
                <w:szCs w:val="24"/>
              </w:rPr>
            </w:pPr>
            <w:r w:rsidRPr="00420EF0">
              <w:rPr>
                <w:rFonts w:ascii="Times New Roman" w:hAnsi="Times New Roman"/>
                <w:sz w:val="24"/>
                <w:szCs w:val="24"/>
              </w:rPr>
              <w:t>2,03c</w:t>
            </w:r>
          </w:p>
        </w:tc>
      </w:tr>
    </w:tbl>
    <w:p w:rsidR="00D837AF" w:rsidRPr="00420EF0" w:rsidRDefault="00D837AF" w:rsidP="00D837AF">
      <w:pPr>
        <w:widowControl w:val="0"/>
        <w:autoSpaceDE w:val="0"/>
        <w:autoSpaceDN w:val="0"/>
        <w:adjustRightInd w:val="0"/>
        <w:spacing w:after="0" w:line="240" w:lineRule="atLeast"/>
        <w:jc w:val="center"/>
        <w:rPr>
          <w:rFonts w:ascii="Times New Roman" w:hAnsi="Times New Roman"/>
          <w:sz w:val="24"/>
          <w:szCs w:val="24"/>
        </w:rPr>
      </w:pPr>
      <w:r w:rsidRPr="00420EF0">
        <w:rPr>
          <w:rFonts w:ascii="Times New Roman" w:eastAsia="Times New Roman" w:hAnsi="Times New Roman"/>
          <w:color w:val="000000"/>
        </w:rPr>
        <w:t>(</w:t>
      </w:r>
      <w:proofErr w:type="gramStart"/>
      <w:r w:rsidRPr="00420EF0">
        <w:rPr>
          <w:rFonts w:ascii="Times New Roman" w:eastAsia="Times New Roman" w:hAnsi="Times New Roman"/>
          <w:color w:val="000000"/>
        </w:rPr>
        <w:t>a</w:t>
      </w:r>
      <w:proofErr w:type="gramEnd"/>
      <w:r w:rsidRPr="00420EF0">
        <w:rPr>
          <w:rFonts w:ascii="Times New Roman" w:eastAsia="Times New Roman" w:hAnsi="Times New Roman"/>
          <w:color w:val="000000"/>
        </w:rPr>
        <w:t>, b, c) medias con letras no comunes en una misma columna difieren por LSD para</w:t>
      </w:r>
      <w:r>
        <w:rPr>
          <w:rFonts w:ascii="Times New Roman" w:eastAsia="Times New Roman" w:hAnsi="Times New Roman"/>
          <w:color w:val="000000"/>
        </w:rPr>
        <w:t xml:space="preserve"> </w:t>
      </w:r>
      <w:r w:rsidRPr="00420EF0">
        <w:rPr>
          <w:rFonts w:ascii="Times New Roman" w:eastAsia="Times New Roman" w:hAnsi="Times New Roman"/>
          <w:color w:val="000000"/>
        </w:rPr>
        <w:t xml:space="preserve">p ≤ 0,05                                                                        </w:t>
      </w:r>
    </w:p>
    <w:p w:rsidR="00D837AF" w:rsidRPr="00420EF0" w:rsidRDefault="00D837AF" w:rsidP="00D837AF">
      <w:pPr>
        <w:spacing w:after="0" w:line="360" w:lineRule="auto"/>
        <w:jc w:val="both"/>
        <w:rPr>
          <w:rFonts w:ascii="Times New Roman" w:hAnsi="Times New Roman"/>
          <w:sz w:val="24"/>
          <w:lang w:val="es-ES_tradnl" w:eastAsia="es-MX"/>
        </w:rPr>
      </w:pPr>
      <w:r w:rsidRPr="00420EF0">
        <w:rPr>
          <w:rFonts w:ascii="Times New Roman" w:hAnsi="Times New Roman"/>
          <w:sz w:val="24"/>
          <w:szCs w:val="24"/>
          <w:lang w:val="es-ES_tradnl" w:eastAsia="es-MX"/>
        </w:rPr>
        <w:t xml:space="preserve">Estos resultados concuerdan con </w:t>
      </w:r>
      <w:proofErr w:type="spellStart"/>
      <w:r w:rsidRPr="00420EF0">
        <w:rPr>
          <w:rFonts w:ascii="Times New Roman" w:hAnsi="Times New Roman"/>
          <w:sz w:val="24"/>
          <w:szCs w:val="24"/>
          <w:lang w:val="es-ES_tradnl" w:eastAsia="es-MX"/>
        </w:rPr>
        <w:t>Humbert</w:t>
      </w:r>
      <w:proofErr w:type="spellEnd"/>
      <w:r w:rsidRPr="00420EF0">
        <w:rPr>
          <w:rFonts w:ascii="Times New Roman" w:hAnsi="Times New Roman"/>
          <w:sz w:val="24"/>
          <w:szCs w:val="24"/>
          <w:lang w:val="es-ES_tradnl" w:eastAsia="es-MX"/>
        </w:rPr>
        <w:t xml:space="preserve"> (1965) citado por </w:t>
      </w:r>
      <w:r w:rsidRPr="00420EF0">
        <w:rPr>
          <w:rFonts w:ascii="Times New Roman" w:hAnsi="Times New Roman"/>
          <w:sz w:val="24"/>
          <w:lang w:val="es-ES_tradnl" w:eastAsia="es-MX"/>
        </w:rPr>
        <w:t>Pérez</w:t>
      </w:r>
      <w:r w:rsidRPr="00420EF0">
        <w:rPr>
          <w:rFonts w:ascii="Times New Roman" w:hAnsi="Times New Roman"/>
          <w:sz w:val="24"/>
          <w:szCs w:val="24"/>
          <w:lang w:val="es-ES_tradnl" w:eastAsia="es-MX"/>
        </w:rPr>
        <w:t xml:space="preserve"> </w:t>
      </w:r>
      <w:r w:rsidRPr="00420EF0">
        <w:rPr>
          <w:rFonts w:ascii="Times New Roman" w:hAnsi="Times New Roman"/>
          <w:i/>
          <w:sz w:val="24"/>
          <w:szCs w:val="24"/>
          <w:lang w:val="es-ES_tradnl" w:eastAsia="es-MX"/>
        </w:rPr>
        <w:t>et al.</w:t>
      </w:r>
      <w:r w:rsidRPr="00420EF0">
        <w:rPr>
          <w:rFonts w:ascii="Times New Roman" w:hAnsi="Times New Roman"/>
          <w:sz w:val="24"/>
          <w:szCs w:val="24"/>
          <w:lang w:val="es-ES_tradnl" w:eastAsia="es-MX"/>
        </w:rPr>
        <w:t xml:space="preserve"> (2012) </w:t>
      </w:r>
      <w:proofErr w:type="gramStart"/>
      <w:r w:rsidRPr="00420EF0">
        <w:rPr>
          <w:rFonts w:ascii="Times New Roman" w:hAnsi="Times New Roman"/>
          <w:sz w:val="24"/>
          <w:szCs w:val="24"/>
          <w:lang w:val="es-ES_tradnl" w:eastAsia="es-MX"/>
        </w:rPr>
        <w:t>cuando</w:t>
      </w:r>
      <w:proofErr w:type="gramEnd"/>
      <w:r w:rsidRPr="00420EF0">
        <w:rPr>
          <w:rFonts w:ascii="Times New Roman" w:hAnsi="Times New Roman"/>
          <w:sz w:val="24"/>
          <w:szCs w:val="24"/>
          <w:lang w:val="es-ES_tradnl" w:eastAsia="es-MX"/>
        </w:rPr>
        <w:t xml:space="preserve"> expresan que 90 000 tallos </w:t>
      </w:r>
      <w:proofErr w:type="spellStart"/>
      <w:r w:rsidRPr="00420EF0">
        <w:rPr>
          <w:rFonts w:ascii="Times New Roman" w:hAnsi="Times New Roman"/>
          <w:sz w:val="24"/>
          <w:szCs w:val="24"/>
          <w:lang w:val="es-ES_tradnl" w:eastAsia="es-MX"/>
        </w:rPr>
        <w:t>molibles</w:t>
      </w:r>
      <w:proofErr w:type="spellEnd"/>
      <w:r w:rsidRPr="00420EF0">
        <w:rPr>
          <w:rFonts w:ascii="Times New Roman" w:hAnsi="Times New Roman"/>
          <w:sz w:val="24"/>
          <w:szCs w:val="24"/>
          <w:lang w:val="es-ES_tradnl" w:eastAsia="es-MX"/>
        </w:rPr>
        <w:t xml:space="preserve">/ha, es una buena población, para un cañaveral de alto rendimiento, </w:t>
      </w:r>
      <w:r w:rsidRPr="00420EF0">
        <w:rPr>
          <w:rFonts w:ascii="Times New Roman" w:hAnsi="Times New Roman"/>
          <w:sz w:val="24"/>
          <w:lang w:val="es-ES_tradnl" w:eastAsia="es-MX"/>
        </w:rPr>
        <w:t xml:space="preserve">por ello, se consideran como buenas las plantaciones que tienen entre 75 000 y 85 000 tallos </w:t>
      </w:r>
      <w:proofErr w:type="spellStart"/>
      <w:r w:rsidRPr="00420EF0">
        <w:rPr>
          <w:rFonts w:ascii="Times New Roman" w:hAnsi="Times New Roman"/>
          <w:sz w:val="24"/>
          <w:lang w:val="es-ES_tradnl" w:eastAsia="es-MX"/>
        </w:rPr>
        <w:t>molibles</w:t>
      </w:r>
      <w:proofErr w:type="spellEnd"/>
      <w:r w:rsidRPr="00420EF0">
        <w:rPr>
          <w:rFonts w:ascii="Times New Roman" w:hAnsi="Times New Roman"/>
          <w:sz w:val="24"/>
          <w:lang w:val="es-ES_tradnl" w:eastAsia="es-MX"/>
        </w:rPr>
        <w:t xml:space="preserve">/ha (entre 12 y 14 tallos </w:t>
      </w:r>
      <w:proofErr w:type="spellStart"/>
      <w:r w:rsidRPr="00420EF0">
        <w:rPr>
          <w:rFonts w:ascii="Times New Roman" w:hAnsi="Times New Roman"/>
          <w:sz w:val="24"/>
          <w:lang w:val="es-ES_tradnl" w:eastAsia="es-MX"/>
        </w:rPr>
        <w:t>molibles</w:t>
      </w:r>
      <w:proofErr w:type="spellEnd"/>
      <w:r w:rsidRPr="00420EF0">
        <w:rPr>
          <w:rFonts w:ascii="Times New Roman" w:hAnsi="Times New Roman"/>
          <w:sz w:val="24"/>
          <w:lang w:val="es-ES_tradnl" w:eastAsia="es-MX"/>
        </w:rPr>
        <w:t>/m) que alcanzan rendimientos superiores a las 128 t/ha, equivalente a más de 8 t/ha</w:t>
      </w:r>
      <w:r w:rsidRPr="00420EF0">
        <w:rPr>
          <w:rFonts w:ascii="Times New Roman" w:hAnsi="Times New Roman"/>
          <w:sz w:val="24"/>
          <w:vertAlign w:val="superscript"/>
          <w:lang w:val="es-ES_tradnl" w:eastAsia="es-MX"/>
        </w:rPr>
        <w:t xml:space="preserve"> </w:t>
      </w:r>
      <w:r w:rsidRPr="00420EF0">
        <w:rPr>
          <w:rFonts w:ascii="Times New Roman" w:hAnsi="Times New Roman"/>
          <w:sz w:val="24"/>
          <w:lang w:val="es-ES_tradnl" w:eastAsia="es-MX"/>
        </w:rPr>
        <w:t>/mes.</w:t>
      </w:r>
      <w:bookmarkStart w:id="0" w:name="_Toc518381716"/>
    </w:p>
    <w:p w:rsidR="00D837AF" w:rsidRPr="00420EF0" w:rsidRDefault="00D837AF" w:rsidP="00D837AF">
      <w:pPr>
        <w:spacing w:after="0" w:line="360" w:lineRule="auto"/>
        <w:jc w:val="both"/>
        <w:rPr>
          <w:rFonts w:ascii="Times New Roman" w:hAnsi="Times New Roman"/>
          <w:b/>
          <w:sz w:val="28"/>
          <w:szCs w:val="24"/>
          <w:lang w:val="es-ES_tradnl" w:eastAsia="es-MX"/>
        </w:rPr>
      </w:pPr>
      <w:r w:rsidRPr="00420EF0">
        <w:rPr>
          <w:rFonts w:ascii="Times New Roman" w:hAnsi="Times New Roman"/>
          <w:b/>
          <w:sz w:val="24"/>
        </w:rPr>
        <w:t>CONCLUSIONES</w:t>
      </w:r>
      <w:bookmarkEnd w:id="0"/>
    </w:p>
    <w:p w:rsidR="00D837AF" w:rsidRPr="00420EF0" w:rsidRDefault="00D837AF" w:rsidP="00D837AF">
      <w:pPr>
        <w:numPr>
          <w:ilvl w:val="0"/>
          <w:numId w:val="2"/>
        </w:numPr>
        <w:spacing w:after="0" w:line="360" w:lineRule="auto"/>
        <w:ind w:left="0" w:firstLine="0"/>
        <w:contextualSpacing/>
        <w:jc w:val="both"/>
        <w:rPr>
          <w:rFonts w:ascii="Times New Roman" w:eastAsia="Times New Roman" w:hAnsi="Times New Roman"/>
          <w:sz w:val="24"/>
          <w:szCs w:val="24"/>
        </w:rPr>
      </w:pPr>
      <w:r w:rsidRPr="00420EF0">
        <w:rPr>
          <w:rFonts w:ascii="Times New Roman" w:eastAsia="Times New Roman" w:hAnsi="Times New Roman"/>
          <w:sz w:val="24"/>
          <w:szCs w:val="24"/>
        </w:rPr>
        <w:t xml:space="preserve"> En la distancia de plantación surco de base ancha se produjo un incremento del promedio de brotes e hijos por metro lineal, así como del área foliar; el promedio de entrenudos, el largo y diámetro de los mismos se comportó ligeramente inferior al resto de los tratamientos estudiados.</w:t>
      </w:r>
    </w:p>
    <w:p w:rsidR="00D837AF" w:rsidRPr="00420EF0" w:rsidRDefault="00D837AF" w:rsidP="00D837AF">
      <w:pPr>
        <w:numPr>
          <w:ilvl w:val="0"/>
          <w:numId w:val="2"/>
        </w:numPr>
        <w:suppressAutoHyphens/>
        <w:spacing w:after="0" w:line="360" w:lineRule="auto"/>
        <w:ind w:left="0" w:firstLine="0"/>
        <w:contextualSpacing/>
        <w:jc w:val="both"/>
        <w:rPr>
          <w:rFonts w:ascii="Times New Roman" w:eastAsia="Times New Roman" w:hAnsi="Times New Roman"/>
          <w:sz w:val="24"/>
          <w:szCs w:val="24"/>
        </w:rPr>
      </w:pPr>
      <w:r w:rsidRPr="00420EF0">
        <w:rPr>
          <w:rFonts w:ascii="Times New Roman" w:eastAsia="Times New Roman" w:hAnsi="Times New Roman"/>
          <w:sz w:val="24"/>
          <w:szCs w:val="24"/>
        </w:rPr>
        <w:t xml:space="preserve"> En la distancia de plantación surco de base ancha se obtuvo un incremento significativo del número de tallos por metro lineal alcanzándose un estimado de </w:t>
      </w:r>
      <w:r w:rsidRPr="00420EF0">
        <w:rPr>
          <w:rFonts w:ascii="Times New Roman" w:eastAsia="Times New Roman" w:hAnsi="Times New Roman"/>
          <w:sz w:val="24"/>
          <w:szCs w:val="24"/>
          <w:lang w:val="es-ES_tradnl" w:eastAsia="es-MX"/>
        </w:rPr>
        <w:t>89 991 tallos por hectárea</w:t>
      </w:r>
      <w:r w:rsidRPr="00420EF0">
        <w:rPr>
          <w:rFonts w:ascii="Times New Roman" w:eastAsia="Times New Roman" w:hAnsi="Times New Roman"/>
          <w:sz w:val="24"/>
          <w:szCs w:val="24"/>
        </w:rPr>
        <w:t xml:space="preserve"> componente esencial en el rendimiento agrícola.</w:t>
      </w:r>
    </w:p>
    <w:p w:rsidR="00D837AF" w:rsidRDefault="00D837AF" w:rsidP="00D837AF">
      <w:pPr>
        <w:suppressAutoHyphens/>
        <w:spacing w:after="0" w:line="360" w:lineRule="auto"/>
        <w:contextualSpacing/>
        <w:jc w:val="both"/>
        <w:rPr>
          <w:rFonts w:ascii="Times New Roman" w:eastAsia="Times New Roman" w:hAnsi="Times New Roman"/>
          <w:b/>
          <w:sz w:val="24"/>
          <w:szCs w:val="24"/>
        </w:rPr>
      </w:pPr>
    </w:p>
    <w:p w:rsidR="00D837AF" w:rsidRDefault="00D837AF" w:rsidP="00D837AF">
      <w:pPr>
        <w:suppressAutoHyphens/>
        <w:spacing w:after="0" w:line="360" w:lineRule="auto"/>
        <w:contextualSpacing/>
        <w:jc w:val="both"/>
        <w:rPr>
          <w:rFonts w:ascii="Times New Roman" w:eastAsia="Times New Roman" w:hAnsi="Times New Roman"/>
          <w:b/>
          <w:sz w:val="24"/>
          <w:szCs w:val="24"/>
        </w:rPr>
      </w:pPr>
    </w:p>
    <w:p w:rsidR="00D837AF" w:rsidRPr="00420EF0" w:rsidRDefault="00D837AF" w:rsidP="00D837AF">
      <w:pPr>
        <w:suppressAutoHyphens/>
        <w:spacing w:after="0" w:line="360" w:lineRule="auto"/>
        <w:contextualSpacing/>
        <w:jc w:val="both"/>
        <w:rPr>
          <w:rFonts w:ascii="Times New Roman" w:eastAsia="Times New Roman" w:hAnsi="Times New Roman"/>
          <w:b/>
          <w:sz w:val="24"/>
          <w:szCs w:val="24"/>
        </w:rPr>
      </w:pPr>
      <w:r w:rsidRPr="00420EF0">
        <w:rPr>
          <w:rFonts w:ascii="Times New Roman" w:eastAsia="Times New Roman" w:hAnsi="Times New Roman"/>
          <w:b/>
          <w:sz w:val="24"/>
          <w:szCs w:val="24"/>
        </w:rPr>
        <w:t>BIBLIOGRAFÍA</w:t>
      </w:r>
    </w:p>
    <w:p w:rsidR="00D837AF" w:rsidRPr="004A2205" w:rsidRDefault="00D837AF" w:rsidP="00D837AF">
      <w:pPr>
        <w:spacing w:after="0" w:line="360" w:lineRule="auto"/>
        <w:contextualSpacing/>
        <w:jc w:val="both"/>
        <w:rPr>
          <w:rFonts w:ascii="Times New Roman" w:hAnsi="Times New Roman"/>
          <w:sz w:val="24"/>
        </w:rPr>
      </w:pPr>
      <w:r w:rsidRPr="004A2205">
        <w:rPr>
          <w:rFonts w:ascii="Times New Roman" w:hAnsi="Times New Roman"/>
          <w:sz w:val="24"/>
        </w:rPr>
        <w:t>BARRANTES,</w:t>
      </w:r>
      <w:r w:rsidRPr="004A2205">
        <w:rPr>
          <w:rFonts w:ascii="Times New Roman" w:hAnsi="Times New Roman"/>
        </w:rPr>
        <w:t xml:space="preserve"> </w:t>
      </w:r>
      <w:r w:rsidRPr="004A2205">
        <w:rPr>
          <w:rFonts w:ascii="Times New Roman" w:hAnsi="Times New Roman"/>
          <w:sz w:val="24"/>
        </w:rPr>
        <w:t>J., ALFARO, P., OCAMPO, R. (2015). “Evaluación de cuatro distancias de siembra en la modalidad de surco gemelo en tres variedades comerciales de caña de azúcar (</w:t>
      </w:r>
      <w:proofErr w:type="spellStart"/>
      <w:r w:rsidRPr="004A2205">
        <w:rPr>
          <w:rFonts w:ascii="Times New Roman" w:hAnsi="Times New Roman"/>
          <w:i/>
          <w:sz w:val="24"/>
        </w:rPr>
        <w:t>Saccharum</w:t>
      </w:r>
      <w:proofErr w:type="spellEnd"/>
      <w:r w:rsidRPr="004A2205">
        <w:rPr>
          <w:rFonts w:ascii="Times New Roman" w:hAnsi="Times New Roman"/>
          <w:i/>
          <w:sz w:val="24"/>
        </w:rPr>
        <w:t xml:space="preserve"> </w:t>
      </w:r>
      <w:proofErr w:type="spellStart"/>
      <w:r w:rsidRPr="004A2205">
        <w:rPr>
          <w:rFonts w:ascii="Times New Roman" w:hAnsi="Times New Roman"/>
          <w:i/>
          <w:sz w:val="24"/>
        </w:rPr>
        <w:t>officinarum</w:t>
      </w:r>
      <w:proofErr w:type="spellEnd"/>
      <w:r w:rsidRPr="004A2205">
        <w:rPr>
          <w:rFonts w:ascii="Times New Roman" w:hAnsi="Times New Roman"/>
          <w:i/>
          <w:sz w:val="24"/>
        </w:rPr>
        <w:t xml:space="preserve"> </w:t>
      </w:r>
      <w:r w:rsidRPr="004A2205">
        <w:rPr>
          <w:rFonts w:ascii="Times New Roman" w:hAnsi="Times New Roman"/>
          <w:sz w:val="24"/>
        </w:rPr>
        <w:t xml:space="preserve">L.) </w:t>
      </w:r>
      <w:proofErr w:type="gramStart"/>
      <w:r w:rsidRPr="004A2205">
        <w:rPr>
          <w:rFonts w:ascii="Times New Roman" w:hAnsi="Times New Roman"/>
          <w:sz w:val="24"/>
        </w:rPr>
        <w:t>en</w:t>
      </w:r>
      <w:proofErr w:type="gramEnd"/>
      <w:r w:rsidRPr="004A2205">
        <w:rPr>
          <w:rFonts w:ascii="Times New Roman" w:hAnsi="Times New Roman"/>
          <w:sz w:val="24"/>
        </w:rPr>
        <w:t xml:space="preserve"> la Región Sur. Costa Rica”. Disponible en: </w:t>
      </w:r>
      <w:hyperlink r:id="rId13" w:history="1">
        <w:r w:rsidRPr="004A2205">
          <w:rPr>
            <w:rStyle w:val="Hipervnculo"/>
            <w:rFonts w:ascii="Times New Roman" w:hAnsi="Times New Roman"/>
            <w:sz w:val="24"/>
          </w:rPr>
          <w:t>https://www.laica.co.cr/biblioteca/servlet/DownloadServlet</w:t>
        </w:r>
      </w:hyperlink>
      <w:r w:rsidRPr="004A2205">
        <w:rPr>
          <w:rFonts w:ascii="Times New Roman" w:hAnsi="Times New Roman"/>
          <w:sz w:val="24"/>
        </w:rPr>
        <w:t xml:space="preserve"> Consultado el 15/03/18</w:t>
      </w:r>
    </w:p>
    <w:p w:rsidR="00D837AF" w:rsidRPr="004A2205" w:rsidRDefault="00D837AF" w:rsidP="00D837AF">
      <w:pPr>
        <w:spacing w:after="0" w:line="360" w:lineRule="auto"/>
        <w:contextualSpacing/>
        <w:jc w:val="both"/>
        <w:rPr>
          <w:rFonts w:ascii="Times New Roman" w:hAnsi="Times New Roman"/>
          <w:sz w:val="24"/>
        </w:rPr>
      </w:pPr>
      <w:r w:rsidRPr="004A2205">
        <w:rPr>
          <w:rFonts w:ascii="Times New Roman" w:hAnsi="Times New Roman"/>
          <w:sz w:val="24"/>
        </w:rPr>
        <w:t xml:space="preserve">ETICA. Un marco de plantación que permite elevar el rendimiento </w:t>
      </w:r>
      <w:proofErr w:type="gramStart"/>
      <w:r w:rsidRPr="004A2205">
        <w:rPr>
          <w:rFonts w:ascii="Times New Roman" w:hAnsi="Times New Roman"/>
          <w:sz w:val="24"/>
        </w:rPr>
        <w:t>agrícola  del</w:t>
      </w:r>
      <w:proofErr w:type="gramEnd"/>
      <w:r w:rsidRPr="004A2205">
        <w:rPr>
          <w:rFonts w:ascii="Times New Roman" w:hAnsi="Times New Roman"/>
          <w:sz w:val="24"/>
        </w:rPr>
        <w:t xml:space="preserve"> cultivo de la caña de azúcar. Conferencia magistral Balance de zafra. Estación Territorial de Investigaciones de la Caña de Azúcar, Villa Clara, Cuba, 2016, 46 p.</w:t>
      </w:r>
    </w:p>
    <w:p w:rsidR="00D837AF" w:rsidRPr="003E46A1" w:rsidRDefault="00D837AF" w:rsidP="00D837AF">
      <w:pPr>
        <w:spacing w:after="0" w:line="360" w:lineRule="auto"/>
        <w:contextualSpacing/>
        <w:jc w:val="both"/>
        <w:rPr>
          <w:rFonts w:ascii="Times New Roman" w:hAnsi="Times New Roman"/>
          <w:sz w:val="24"/>
          <w:lang w:val="en-US"/>
        </w:rPr>
      </w:pPr>
      <w:r w:rsidRPr="003E46A1">
        <w:rPr>
          <w:rFonts w:ascii="Times New Roman" w:hAnsi="Times New Roman"/>
          <w:sz w:val="24"/>
          <w:lang w:val="pt-PT"/>
        </w:rPr>
        <w:t xml:space="preserve">Benda, G. T. A., I. W. Dunckelman.1987. </w:t>
      </w:r>
      <w:r w:rsidRPr="003E46A1">
        <w:rPr>
          <w:rFonts w:ascii="Times New Roman" w:hAnsi="Times New Roman"/>
          <w:sz w:val="24"/>
          <w:lang w:val="en-US"/>
        </w:rPr>
        <w:t xml:space="preserve">Sugar cane yield of constant </w:t>
      </w:r>
      <w:proofErr w:type="spellStart"/>
      <w:r w:rsidRPr="003E46A1">
        <w:rPr>
          <w:rFonts w:ascii="Times New Roman" w:hAnsi="Times New Roman"/>
          <w:sz w:val="24"/>
          <w:lang w:val="en-US"/>
        </w:rPr>
        <w:t>initital</w:t>
      </w:r>
      <w:proofErr w:type="spellEnd"/>
      <w:r w:rsidRPr="003E46A1">
        <w:rPr>
          <w:rFonts w:ascii="Times New Roman" w:hAnsi="Times New Roman"/>
          <w:sz w:val="24"/>
          <w:lang w:val="en-US"/>
        </w:rPr>
        <w:t xml:space="preserve"> populations at </w:t>
      </w:r>
      <w:proofErr w:type="spellStart"/>
      <w:r w:rsidRPr="003E46A1">
        <w:rPr>
          <w:rFonts w:ascii="Times New Roman" w:hAnsi="Times New Roman"/>
          <w:sz w:val="24"/>
          <w:lang w:val="en-US"/>
        </w:rPr>
        <w:t>differente</w:t>
      </w:r>
      <w:proofErr w:type="spellEnd"/>
      <w:r w:rsidRPr="003E46A1">
        <w:rPr>
          <w:rFonts w:ascii="Times New Roman" w:hAnsi="Times New Roman"/>
          <w:sz w:val="24"/>
          <w:lang w:val="en-US"/>
        </w:rPr>
        <w:t xml:space="preserve"> row </w:t>
      </w:r>
      <w:proofErr w:type="spellStart"/>
      <w:r w:rsidRPr="003E46A1">
        <w:rPr>
          <w:rFonts w:ascii="Times New Roman" w:hAnsi="Times New Roman"/>
          <w:sz w:val="24"/>
          <w:lang w:val="en-US"/>
        </w:rPr>
        <w:t>spacings</w:t>
      </w:r>
      <w:proofErr w:type="spellEnd"/>
      <w:r w:rsidRPr="003E46A1">
        <w:rPr>
          <w:rFonts w:ascii="Times New Roman" w:hAnsi="Times New Roman"/>
          <w:sz w:val="24"/>
          <w:lang w:val="en-US"/>
        </w:rPr>
        <w:t>, Sugar Cane, May/</w:t>
      </w:r>
      <w:proofErr w:type="spellStart"/>
      <w:r w:rsidRPr="003E46A1">
        <w:rPr>
          <w:rFonts w:ascii="Times New Roman" w:hAnsi="Times New Roman"/>
          <w:sz w:val="24"/>
          <w:lang w:val="en-US"/>
        </w:rPr>
        <w:t>june</w:t>
      </w:r>
      <w:proofErr w:type="spellEnd"/>
      <w:r w:rsidRPr="003E46A1">
        <w:rPr>
          <w:rFonts w:ascii="Times New Roman" w:hAnsi="Times New Roman"/>
          <w:sz w:val="24"/>
          <w:lang w:val="en-US"/>
        </w:rPr>
        <w:t xml:space="preserve">. P. 23-241. </w:t>
      </w:r>
    </w:p>
    <w:p w:rsidR="00D837AF" w:rsidRPr="003E46A1" w:rsidRDefault="00D837AF" w:rsidP="00D837AF">
      <w:pPr>
        <w:spacing w:after="0" w:line="360" w:lineRule="auto"/>
        <w:contextualSpacing/>
        <w:jc w:val="both"/>
        <w:rPr>
          <w:rFonts w:ascii="Times New Roman" w:hAnsi="Times New Roman"/>
          <w:sz w:val="24"/>
        </w:rPr>
      </w:pPr>
      <w:proofErr w:type="spellStart"/>
      <w:r w:rsidRPr="003E46A1">
        <w:rPr>
          <w:rFonts w:ascii="Times New Roman" w:hAnsi="Times New Roman"/>
          <w:sz w:val="24"/>
          <w:lang w:val="en-US"/>
        </w:rPr>
        <w:t>Bolaños</w:t>
      </w:r>
      <w:proofErr w:type="spellEnd"/>
      <w:r w:rsidRPr="003E46A1">
        <w:rPr>
          <w:rFonts w:ascii="Times New Roman" w:hAnsi="Times New Roman"/>
          <w:sz w:val="24"/>
          <w:lang w:val="en-US"/>
        </w:rPr>
        <w:t xml:space="preserve">, J. 2015. </w:t>
      </w:r>
      <w:r w:rsidRPr="003E46A1">
        <w:rPr>
          <w:rFonts w:ascii="Times New Roman" w:hAnsi="Times New Roman"/>
          <w:sz w:val="24"/>
        </w:rPr>
        <w:t xml:space="preserve">Características del surco de base ancha y su implementación en siembras comerciales de caña de azúcar. Consultado ocho de mayo de 2018. Disponible en </w:t>
      </w:r>
      <w:hyperlink r:id="rId14" w:history="1">
        <w:r w:rsidRPr="003E46A1">
          <w:rPr>
            <w:rStyle w:val="Hipervnculo"/>
            <w:rFonts w:ascii="Times New Roman" w:hAnsi="Times New Roman"/>
            <w:sz w:val="24"/>
          </w:rPr>
          <w:t>https://www.laica.co.cr/biblioteca2/verSubcategoria.do?p=3&amp;c=443&amp;s=2521</w:t>
        </w:r>
      </w:hyperlink>
      <w:r w:rsidRPr="003E46A1">
        <w:rPr>
          <w:rFonts w:ascii="Times New Roman" w:hAnsi="Times New Roman"/>
          <w:sz w:val="24"/>
        </w:rPr>
        <w:t xml:space="preserve"> </w:t>
      </w:r>
    </w:p>
    <w:p w:rsidR="00D837AF" w:rsidRPr="003E46A1" w:rsidRDefault="00D837AF" w:rsidP="00D837AF">
      <w:pPr>
        <w:spacing w:after="0" w:line="360" w:lineRule="auto"/>
        <w:contextualSpacing/>
        <w:jc w:val="both"/>
        <w:rPr>
          <w:rFonts w:ascii="Times New Roman" w:hAnsi="Times New Roman"/>
          <w:sz w:val="24"/>
        </w:rPr>
      </w:pPr>
      <w:proofErr w:type="spellStart"/>
      <w:r w:rsidRPr="003E46A1">
        <w:rPr>
          <w:rFonts w:ascii="Times New Roman" w:hAnsi="Times New Roman"/>
          <w:sz w:val="24"/>
          <w:lang w:val="es-CO"/>
        </w:rPr>
        <w:t>Chowing</w:t>
      </w:r>
      <w:proofErr w:type="spellEnd"/>
      <w:r w:rsidRPr="003E46A1">
        <w:rPr>
          <w:rFonts w:ascii="Times New Roman" w:hAnsi="Times New Roman"/>
          <w:sz w:val="24"/>
          <w:lang w:val="es-CO"/>
        </w:rPr>
        <w:t xml:space="preserve"> E. High-</w:t>
      </w:r>
      <w:proofErr w:type="spellStart"/>
      <w:r w:rsidRPr="003E46A1">
        <w:rPr>
          <w:rFonts w:ascii="Times New Roman" w:hAnsi="Times New Roman"/>
          <w:sz w:val="24"/>
          <w:lang w:val="es-CO"/>
        </w:rPr>
        <w:t>Density</w:t>
      </w:r>
      <w:proofErr w:type="spellEnd"/>
      <w:r w:rsidRPr="003E46A1">
        <w:rPr>
          <w:rFonts w:ascii="Times New Roman" w:hAnsi="Times New Roman"/>
          <w:sz w:val="24"/>
          <w:lang w:val="es-CO"/>
        </w:rPr>
        <w:t xml:space="preserve"> </w:t>
      </w:r>
      <w:proofErr w:type="spellStart"/>
      <w:r w:rsidRPr="003E46A1">
        <w:rPr>
          <w:rFonts w:ascii="Times New Roman" w:hAnsi="Times New Roman"/>
          <w:sz w:val="24"/>
          <w:lang w:val="es-CO"/>
        </w:rPr>
        <w:t>Planning</w:t>
      </w:r>
      <w:proofErr w:type="spellEnd"/>
      <w:r w:rsidRPr="003E46A1">
        <w:rPr>
          <w:rFonts w:ascii="Times New Roman" w:hAnsi="Times New Roman"/>
          <w:sz w:val="24"/>
          <w:lang w:val="es-CO"/>
        </w:rPr>
        <w:t xml:space="preserve">. </w:t>
      </w:r>
      <w:r w:rsidRPr="003E46A1">
        <w:rPr>
          <w:rFonts w:ascii="Times New Roman" w:hAnsi="Times New Roman"/>
          <w:sz w:val="24"/>
          <w:lang w:val="en-US"/>
        </w:rPr>
        <w:t xml:space="preserve">2005. Annual Report, Mauritius Sugar Industry Research Institute. </w:t>
      </w:r>
      <w:r w:rsidRPr="003E46A1">
        <w:rPr>
          <w:rFonts w:ascii="Times New Roman" w:hAnsi="Times New Roman"/>
          <w:sz w:val="24"/>
        </w:rPr>
        <w:t>P. 26-28.</w:t>
      </w:r>
    </w:p>
    <w:p w:rsidR="00D837AF" w:rsidRPr="003E46A1" w:rsidRDefault="00D837AF" w:rsidP="00D837AF">
      <w:pPr>
        <w:spacing w:after="0" w:line="360" w:lineRule="auto"/>
        <w:contextualSpacing/>
        <w:jc w:val="both"/>
        <w:rPr>
          <w:rFonts w:ascii="Times New Roman" w:hAnsi="Times New Roman"/>
          <w:sz w:val="24"/>
          <w:lang w:val="pt-PT"/>
        </w:rPr>
      </w:pPr>
      <w:r w:rsidRPr="003E46A1">
        <w:rPr>
          <w:rFonts w:ascii="Times New Roman" w:hAnsi="Times New Roman"/>
          <w:sz w:val="24"/>
        </w:rPr>
        <w:t xml:space="preserve">Cruz, P.2013. Desempeño de la caña de azúcar bajo diferentes </w:t>
      </w:r>
      <w:proofErr w:type="gramStart"/>
      <w:r w:rsidRPr="003E46A1">
        <w:rPr>
          <w:rFonts w:ascii="Times New Roman" w:hAnsi="Times New Roman"/>
          <w:sz w:val="24"/>
        </w:rPr>
        <w:t>distancias  de</w:t>
      </w:r>
      <w:proofErr w:type="gramEnd"/>
      <w:r w:rsidRPr="003E46A1">
        <w:rPr>
          <w:rFonts w:ascii="Times New Roman" w:hAnsi="Times New Roman"/>
          <w:sz w:val="24"/>
        </w:rPr>
        <w:t xml:space="preserve"> siembra que mejoran el tráfico dentro del cultivo. III Congreso AETA, sep.18-20 del 2013. Guayaquil-Ecuador. </w:t>
      </w:r>
      <w:r w:rsidRPr="003E46A1">
        <w:rPr>
          <w:rFonts w:ascii="Times New Roman" w:hAnsi="Times New Roman"/>
          <w:sz w:val="24"/>
          <w:lang w:val="pt-PT"/>
        </w:rPr>
        <w:t>P. 11.</w:t>
      </w:r>
    </w:p>
    <w:p w:rsidR="00D837AF" w:rsidRPr="003E46A1" w:rsidRDefault="00D837AF" w:rsidP="00D837AF">
      <w:pPr>
        <w:spacing w:after="0" w:line="360" w:lineRule="auto"/>
        <w:contextualSpacing/>
        <w:jc w:val="both"/>
        <w:rPr>
          <w:rFonts w:ascii="Times New Roman" w:hAnsi="Times New Roman"/>
          <w:sz w:val="24"/>
        </w:rPr>
      </w:pPr>
      <w:r w:rsidRPr="003E46A1">
        <w:rPr>
          <w:rFonts w:ascii="Times New Roman" w:hAnsi="Times New Roman"/>
          <w:sz w:val="24"/>
        </w:rPr>
        <w:t>Fernández, R., Dávila, A., Del Toro, F.1990. Botánica y fisiología de la Caña de azúcar. Segunda edición. La Habana, Cuba: Editorial Pueblo y Educación.P.193</w:t>
      </w:r>
    </w:p>
    <w:p w:rsidR="00D837AF" w:rsidRPr="003E46A1" w:rsidRDefault="00D837AF" w:rsidP="00D837AF">
      <w:pPr>
        <w:spacing w:after="0" w:line="360" w:lineRule="auto"/>
        <w:contextualSpacing/>
        <w:jc w:val="both"/>
        <w:rPr>
          <w:rFonts w:ascii="Times New Roman" w:hAnsi="Times New Roman"/>
          <w:sz w:val="24"/>
        </w:rPr>
      </w:pPr>
      <w:r w:rsidRPr="003E46A1">
        <w:rPr>
          <w:rFonts w:ascii="Times New Roman" w:hAnsi="Times New Roman"/>
          <w:sz w:val="24"/>
        </w:rPr>
        <w:t xml:space="preserve">Gómez, S., Platero, B., </w:t>
      </w:r>
      <w:proofErr w:type="spellStart"/>
      <w:r w:rsidRPr="003E46A1">
        <w:rPr>
          <w:rFonts w:ascii="Times New Roman" w:hAnsi="Times New Roman"/>
          <w:sz w:val="24"/>
        </w:rPr>
        <w:t>Rossi</w:t>
      </w:r>
      <w:proofErr w:type="spellEnd"/>
      <w:r w:rsidRPr="003E46A1">
        <w:rPr>
          <w:rFonts w:ascii="Times New Roman" w:hAnsi="Times New Roman"/>
          <w:sz w:val="24"/>
        </w:rPr>
        <w:t xml:space="preserve">, I. y Juana Prieto.2011. Plantación de la caña de azúcar en surco de base ancha. Consultado 17 mayo 2017. Disponible en </w:t>
      </w:r>
      <w:r w:rsidRPr="003E46A1">
        <w:rPr>
          <w:rFonts w:ascii="Times New Roman" w:hAnsi="Times New Roman"/>
          <w:color w:val="2E74B5"/>
          <w:sz w:val="24"/>
          <w:u w:val="single"/>
        </w:rPr>
        <w:t>http://www.actaf.co.cu/revistas/ATAC/ATAC3.</w:t>
      </w:r>
    </w:p>
    <w:p w:rsidR="00D837AF" w:rsidRPr="003E46A1" w:rsidRDefault="00D837AF" w:rsidP="00D837AF">
      <w:pPr>
        <w:spacing w:after="0" w:line="360" w:lineRule="auto"/>
        <w:contextualSpacing/>
        <w:jc w:val="both"/>
        <w:rPr>
          <w:rFonts w:ascii="Times New Roman" w:eastAsia="Times New Roman" w:hAnsi="Times New Roman"/>
          <w:sz w:val="24"/>
          <w:szCs w:val="20"/>
          <w:lang w:eastAsia="es-MX"/>
        </w:rPr>
      </w:pPr>
      <w:r w:rsidRPr="003E46A1">
        <w:rPr>
          <w:rFonts w:ascii="Times New Roman" w:eastAsia="Times New Roman" w:hAnsi="Times New Roman"/>
          <w:bCs/>
          <w:sz w:val="24"/>
          <w:szCs w:val="20"/>
          <w:lang w:eastAsia="es-AR"/>
        </w:rPr>
        <w:t xml:space="preserve">Hernández, A.; Pérez, J.M.; Bosch, D.; y Castro, N. 2015. Clasificación de los suelos de Cuba 2015. Editoriales Instituto Nacional de Ciencias Agrícolas e Instituto de Suelos. </w:t>
      </w:r>
      <w:r w:rsidRPr="003E46A1">
        <w:rPr>
          <w:rFonts w:ascii="Times New Roman" w:eastAsia="Times New Roman" w:hAnsi="Times New Roman"/>
          <w:bCs/>
          <w:sz w:val="24"/>
          <w:szCs w:val="20"/>
          <w:lang w:val="es-CO" w:eastAsia="es-AR"/>
        </w:rPr>
        <w:t>93p.</w:t>
      </w:r>
    </w:p>
    <w:p w:rsidR="00D837AF" w:rsidRPr="003E46A1" w:rsidRDefault="00D837AF" w:rsidP="00D837AF">
      <w:pPr>
        <w:spacing w:after="0" w:line="360" w:lineRule="auto"/>
        <w:contextualSpacing/>
        <w:jc w:val="both"/>
        <w:rPr>
          <w:rFonts w:ascii="Times New Roman" w:hAnsi="Times New Roman"/>
          <w:sz w:val="24"/>
        </w:rPr>
      </w:pPr>
      <w:proofErr w:type="spellStart"/>
      <w:r w:rsidRPr="003E46A1">
        <w:rPr>
          <w:rFonts w:ascii="Times New Roman" w:hAnsi="Times New Roman"/>
          <w:sz w:val="24"/>
        </w:rPr>
        <w:t>Humbert</w:t>
      </w:r>
      <w:proofErr w:type="spellEnd"/>
      <w:r w:rsidRPr="003E46A1">
        <w:rPr>
          <w:rFonts w:ascii="Times New Roman" w:hAnsi="Times New Roman"/>
          <w:sz w:val="24"/>
        </w:rPr>
        <w:t>, R. P. 1965. El cultivo de la Caña de Azúcar. 1ra ed. La Habana, Cuba: Editora Universitaria. P. 13-20.</w:t>
      </w:r>
    </w:p>
    <w:p w:rsidR="00D837AF" w:rsidRPr="003E46A1" w:rsidRDefault="00D837AF" w:rsidP="00D837AF">
      <w:pPr>
        <w:spacing w:after="0" w:line="360" w:lineRule="auto"/>
        <w:contextualSpacing/>
        <w:jc w:val="both"/>
        <w:rPr>
          <w:rFonts w:ascii="Times New Roman" w:hAnsi="Times New Roman"/>
          <w:sz w:val="24"/>
          <w:lang w:val="en-US"/>
        </w:rPr>
      </w:pPr>
      <w:r w:rsidRPr="003E46A1">
        <w:rPr>
          <w:rFonts w:ascii="Times New Roman" w:hAnsi="Times New Roman"/>
          <w:sz w:val="24"/>
        </w:rPr>
        <w:t xml:space="preserve">INICA-MINAZ. 2010. XVIII Informe a la Reunión Nacional de Variedades, Semilla y Sanidad Vegetal. </w:t>
      </w:r>
      <w:proofErr w:type="gramStart"/>
      <w:r w:rsidRPr="003E46A1">
        <w:rPr>
          <w:rFonts w:ascii="Times New Roman" w:hAnsi="Times New Roman"/>
          <w:sz w:val="24"/>
          <w:lang w:val="en-US"/>
        </w:rPr>
        <w:t>91</w:t>
      </w:r>
      <w:proofErr w:type="gramEnd"/>
      <w:r w:rsidRPr="003E46A1">
        <w:rPr>
          <w:rFonts w:ascii="Times New Roman" w:hAnsi="Times New Roman"/>
          <w:sz w:val="24"/>
          <w:lang w:val="en-US"/>
        </w:rPr>
        <w:t xml:space="preserve"> P. </w:t>
      </w:r>
    </w:p>
    <w:p w:rsidR="00D837AF" w:rsidRPr="003E46A1" w:rsidRDefault="00D837AF" w:rsidP="00D837AF">
      <w:pPr>
        <w:spacing w:after="0" w:line="360" w:lineRule="auto"/>
        <w:contextualSpacing/>
        <w:jc w:val="both"/>
        <w:rPr>
          <w:rFonts w:ascii="Times New Roman" w:hAnsi="Times New Roman"/>
          <w:sz w:val="24"/>
        </w:rPr>
      </w:pPr>
      <w:r w:rsidRPr="003E46A1">
        <w:rPr>
          <w:rFonts w:ascii="Times New Roman" w:hAnsi="Times New Roman"/>
          <w:sz w:val="24"/>
        </w:rPr>
        <w:t xml:space="preserve">Jorge, H., Jorge, Ibis de las Mercedes. </w:t>
      </w:r>
      <w:proofErr w:type="gramStart"/>
      <w:r w:rsidRPr="003E46A1">
        <w:rPr>
          <w:rFonts w:ascii="Times New Roman" w:hAnsi="Times New Roman"/>
          <w:sz w:val="24"/>
        </w:rPr>
        <w:t>y</w:t>
      </w:r>
      <w:proofErr w:type="gramEnd"/>
      <w:r w:rsidRPr="003E46A1">
        <w:rPr>
          <w:rFonts w:ascii="Times New Roman" w:hAnsi="Times New Roman"/>
          <w:sz w:val="24"/>
        </w:rPr>
        <w:t xml:space="preserve"> García, H. 2010a. Variedades de caña de azúcar cultivadas en Cuba. En: "Contribución al conocimiento de las variedades de caña de azúcar". INICA-MINAZ. P. 23-34.</w:t>
      </w:r>
    </w:p>
    <w:p w:rsidR="00D837AF" w:rsidRPr="003E46A1" w:rsidRDefault="00D837AF" w:rsidP="00D837AF">
      <w:pPr>
        <w:spacing w:after="0" w:line="360" w:lineRule="auto"/>
        <w:contextualSpacing/>
        <w:jc w:val="both"/>
        <w:rPr>
          <w:rFonts w:ascii="Times New Roman" w:hAnsi="Times New Roman"/>
          <w:sz w:val="24"/>
        </w:rPr>
      </w:pPr>
      <w:r w:rsidRPr="003E46A1">
        <w:rPr>
          <w:rFonts w:ascii="Times New Roman" w:hAnsi="Times New Roman"/>
          <w:sz w:val="24"/>
        </w:rPr>
        <w:t>Jorge, H.; Jorge, Ibis de las Mercedes y N. Bernal. 2010b. Principios y conceptos básicos para el manejo de variedades y semilla de caña de azúcar en la agroindustria azucarera cubana. Primera edición. La Habana, Cuba. P. 18</w:t>
      </w:r>
    </w:p>
    <w:p w:rsidR="00D837AF" w:rsidRPr="003E46A1" w:rsidRDefault="00D837AF" w:rsidP="00D837AF">
      <w:pPr>
        <w:spacing w:after="0" w:line="360" w:lineRule="auto"/>
        <w:contextualSpacing/>
        <w:jc w:val="both"/>
        <w:rPr>
          <w:rFonts w:ascii="Times New Roman" w:hAnsi="Times New Roman"/>
          <w:sz w:val="24"/>
        </w:rPr>
      </w:pPr>
      <w:r w:rsidRPr="003E46A1">
        <w:rPr>
          <w:rFonts w:ascii="Times New Roman" w:hAnsi="Times New Roman"/>
          <w:sz w:val="24"/>
        </w:rPr>
        <w:t xml:space="preserve">Jorge, H., Ibis Jorge y A. </w:t>
      </w:r>
      <w:proofErr w:type="spellStart"/>
      <w:r w:rsidRPr="003E46A1">
        <w:rPr>
          <w:rFonts w:ascii="Times New Roman" w:hAnsi="Times New Roman"/>
          <w:sz w:val="24"/>
        </w:rPr>
        <w:t>Arencibia</w:t>
      </w:r>
      <w:proofErr w:type="spellEnd"/>
      <w:r w:rsidRPr="003E46A1">
        <w:rPr>
          <w:rFonts w:ascii="Times New Roman" w:hAnsi="Times New Roman"/>
          <w:sz w:val="24"/>
        </w:rPr>
        <w:t>. 2004. Catálogo de nuevas variedades de caña de azúcar, INICA, La Habana. P. 101.</w:t>
      </w:r>
    </w:p>
    <w:p w:rsidR="00D837AF" w:rsidRPr="003E46A1" w:rsidRDefault="00D837AF" w:rsidP="00D837AF">
      <w:pPr>
        <w:spacing w:after="0" w:line="360" w:lineRule="auto"/>
        <w:contextualSpacing/>
        <w:jc w:val="both"/>
        <w:rPr>
          <w:rFonts w:ascii="Times New Roman" w:hAnsi="Times New Roman"/>
          <w:sz w:val="24"/>
        </w:rPr>
      </w:pPr>
      <w:r w:rsidRPr="003E46A1">
        <w:rPr>
          <w:rFonts w:ascii="Times New Roman" w:hAnsi="Times New Roman"/>
          <w:sz w:val="24"/>
        </w:rPr>
        <w:t xml:space="preserve">Pérez, H.; Santana, I. </w:t>
      </w:r>
      <w:proofErr w:type="spellStart"/>
      <w:r w:rsidRPr="003E46A1">
        <w:rPr>
          <w:rFonts w:ascii="Times New Roman" w:hAnsi="Times New Roman"/>
          <w:sz w:val="24"/>
        </w:rPr>
        <w:t>e</w:t>
      </w:r>
      <w:proofErr w:type="spellEnd"/>
      <w:r w:rsidRPr="003E46A1">
        <w:rPr>
          <w:rFonts w:ascii="Times New Roman" w:hAnsi="Times New Roman"/>
          <w:sz w:val="24"/>
        </w:rPr>
        <w:t xml:space="preserve"> I. Rodríguez. 2012. Manejo sostenible de tierras en la producción de Caña de azúcar. La Habana, Cuba: Instituto de Investigaciones de la Caña de Azúcar, Ministerio del Azúcar. P. 84.</w:t>
      </w:r>
    </w:p>
    <w:p w:rsidR="00D837AF" w:rsidRPr="003E46A1" w:rsidRDefault="00D837AF" w:rsidP="00D837AF">
      <w:pPr>
        <w:spacing w:after="0" w:line="360" w:lineRule="auto"/>
        <w:contextualSpacing/>
        <w:jc w:val="both"/>
        <w:rPr>
          <w:rFonts w:ascii="Times New Roman" w:hAnsi="Times New Roman"/>
          <w:sz w:val="24"/>
        </w:rPr>
      </w:pPr>
      <w:r w:rsidRPr="003E46A1">
        <w:rPr>
          <w:rFonts w:ascii="Times New Roman" w:hAnsi="Times New Roman"/>
          <w:sz w:val="24"/>
        </w:rPr>
        <w:t>Santana, I., González, M. y Guillén, S. 2012. Instructivo técnico para el manejo de la Caña de Azúcar. 2da. Ed. La Habana, Cuba ISBN: 000-000-00 Instituto de Investigaciones de la Caña de azúcar. P 1 y 15.</w:t>
      </w:r>
    </w:p>
    <w:p w:rsidR="00D837AF" w:rsidRPr="003E46A1" w:rsidRDefault="00D837AF" w:rsidP="00D837AF">
      <w:pPr>
        <w:tabs>
          <w:tab w:val="left" w:pos="450"/>
        </w:tabs>
        <w:spacing w:after="0" w:line="360" w:lineRule="auto"/>
        <w:rPr>
          <w:rFonts w:ascii="Times New Roman" w:hAnsi="Times New Roman"/>
          <w:sz w:val="24"/>
          <w:szCs w:val="24"/>
        </w:rPr>
      </w:pPr>
      <w:r w:rsidRPr="003E46A1">
        <w:rPr>
          <w:rFonts w:ascii="Times New Roman" w:hAnsi="Times New Roman"/>
          <w:sz w:val="24"/>
          <w:szCs w:val="24"/>
        </w:rPr>
        <w:t>Torres, T., Mireya Rodríguez. 2002. Manual de prácticas de fisiología vegetal. Departamento de Agronomía Facultad Ciencias Agropecuarias Universidad Central “Marta Abreu” de Las Villas Cuba.</w:t>
      </w:r>
    </w:p>
    <w:p w:rsidR="00D837AF" w:rsidRPr="003E46A1" w:rsidRDefault="00D837AF" w:rsidP="00D837AF">
      <w:pPr>
        <w:spacing w:after="0" w:line="360" w:lineRule="auto"/>
        <w:contextualSpacing/>
        <w:jc w:val="both"/>
        <w:rPr>
          <w:rFonts w:ascii="Times New Roman" w:hAnsi="Times New Roman"/>
          <w:sz w:val="24"/>
        </w:rPr>
      </w:pPr>
      <w:r w:rsidRPr="003E46A1">
        <w:rPr>
          <w:rFonts w:ascii="Times New Roman" w:hAnsi="Times New Roman"/>
          <w:sz w:val="24"/>
        </w:rPr>
        <w:t xml:space="preserve">Van </w:t>
      </w:r>
      <w:proofErr w:type="spellStart"/>
      <w:r w:rsidRPr="003E46A1">
        <w:rPr>
          <w:rFonts w:ascii="Times New Roman" w:hAnsi="Times New Roman"/>
          <w:sz w:val="24"/>
        </w:rPr>
        <w:t>Dillewijn</w:t>
      </w:r>
      <w:proofErr w:type="spellEnd"/>
      <w:r w:rsidRPr="003E46A1">
        <w:rPr>
          <w:rFonts w:ascii="Times New Roman" w:hAnsi="Times New Roman"/>
          <w:sz w:val="24"/>
        </w:rPr>
        <w:t>, C. 1952. Botánica de la caña de azúcar. La Habana, Cuba: Editorial Revolucionaria. Instituto Cubano del Libro. P. 257-354.</w:t>
      </w:r>
    </w:p>
    <w:p w:rsidR="00D837AF" w:rsidRPr="00420EF0" w:rsidRDefault="00D837AF" w:rsidP="00D837AF">
      <w:pPr>
        <w:spacing w:after="0" w:line="360" w:lineRule="auto"/>
        <w:contextualSpacing/>
        <w:jc w:val="both"/>
        <w:rPr>
          <w:rFonts w:ascii="Times New Roman" w:hAnsi="Times New Roman"/>
          <w:sz w:val="24"/>
        </w:rPr>
      </w:pPr>
    </w:p>
    <w:p w:rsidR="00D837AF" w:rsidRPr="00420EF0" w:rsidRDefault="00D837AF" w:rsidP="00D837AF">
      <w:pPr>
        <w:suppressAutoHyphens/>
        <w:spacing w:after="0" w:line="360" w:lineRule="auto"/>
        <w:contextualSpacing/>
        <w:jc w:val="both"/>
        <w:rPr>
          <w:rFonts w:ascii="Times New Roman" w:eastAsia="Times New Roman" w:hAnsi="Times New Roman"/>
          <w:b/>
          <w:sz w:val="24"/>
          <w:szCs w:val="24"/>
        </w:rPr>
      </w:pPr>
    </w:p>
    <w:p w:rsidR="00D837AF" w:rsidRPr="00D837AF" w:rsidRDefault="00D837AF" w:rsidP="00AD7048">
      <w:pPr>
        <w:pStyle w:val="HTMLconformatoprevio"/>
        <w:rPr>
          <w:rFonts w:ascii="Arial" w:hAnsi="Arial" w:cs="Arial"/>
          <w:sz w:val="24"/>
          <w:szCs w:val="24"/>
          <w:lang w:val="en-US"/>
        </w:rPr>
      </w:pPr>
      <w:bookmarkStart w:id="1" w:name="_GoBack"/>
      <w:bookmarkEnd w:id="1"/>
    </w:p>
    <w:sectPr w:rsidR="00D837AF" w:rsidRPr="00D837AF" w:rsidSect="00C8585B">
      <w:headerReference w:type="default" r:id="rId15"/>
      <w:footerReference w:type="default" r:id="rId16"/>
      <w:pgSz w:w="11906" w:h="16838"/>
      <w:pgMar w:top="1417" w:right="1701" w:bottom="1417" w:left="1701" w:header="567"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23C55" w:rsidRDefault="00623C55" w:rsidP="00C8585B">
      <w:pPr>
        <w:spacing w:after="0" w:line="240" w:lineRule="auto"/>
      </w:pPr>
      <w:r>
        <w:separator/>
      </w:r>
    </w:p>
  </w:endnote>
  <w:endnote w:type="continuationSeparator" w:id="0">
    <w:p w:rsidR="00623C55" w:rsidRDefault="00623C55" w:rsidP="00C858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n-ea">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2497" w:rsidRDefault="005E2497" w:rsidP="005E2497">
    <w:pPr>
      <w:pStyle w:val="Piedepgina"/>
      <w:jc w:val="center"/>
      <w:rPr>
        <w:rFonts w:ascii="Times New Roman" w:hAnsi="Times New Roman" w:cs="Times New Roman"/>
        <w:sz w:val="24"/>
      </w:rPr>
    </w:pPr>
  </w:p>
  <w:p w:rsidR="00362E5F" w:rsidRPr="007559FA" w:rsidRDefault="005E2497" w:rsidP="005E2497">
    <w:pPr>
      <w:pStyle w:val="Piedepgina"/>
      <w:jc w:val="center"/>
      <w:rPr>
        <w:rFonts w:ascii="Times New Roman" w:hAnsi="Times New Roman" w:cs="Times New Roman"/>
        <w:sz w:val="28"/>
      </w:rPr>
    </w:pPr>
    <w:r w:rsidRPr="007559FA">
      <w:rPr>
        <w:rFonts w:ascii="Times New Roman" w:hAnsi="Times New Roman" w:cs="Times New Roman"/>
        <w:sz w:val="28"/>
      </w:rPr>
      <w:t>Información de contacto</w:t>
    </w:r>
  </w:p>
  <w:p w:rsidR="005E2497" w:rsidRPr="007559FA" w:rsidRDefault="005E2497" w:rsidP="005E2497">
    <w:pPr>
      <w:pStyle w:val="Piedepgina"/>
      <w:jc w:val="center"/>
      <w:rPr>
        <w:rFonts w:ascii="Times New Roman" w:hAnsi="Times New Roman" w:cs="Times New Roman"/>
        <w:sz w:val="28"/>
      </w:rPr>
    </w:pPr>
    <w:r w:rsidRPr="007559FA">
      <w:rPr>
        <w:rFonts w:ascii="Times New Roman" w:hAnsi="Times New Roman" w:cs="Times New Roman"/>
        <w:sz w:val="28"/>
      </w:rPr>
      <w:t xml:space="preserve"> </w:t>
    </w:r>
    <w:hyperlink r:id="rId1" w:history="1">
      <w:r w:rsidRPr="007559FA">
        <w:rPr>
          <w:rStyle w:val="Hipervnculo"/>
          <w:rFonts w:ascii="Times New Roman" w:hAnsi="Times New Roman" w:cs="Times New Roman"/>
          <w:sz w:val="28"/>
        </w:rPr>
        <w:t>convencionuclv@uclv.cu</w:t>
      </w:r>
    </w:hyperlink>
  </w:p>
  <w:p w:rsidR="005E2497" w:rsidRPr="007559FA" w:rsidRDefault="00623C55" w:rsidP="005E2497">
    <w:pPr>
      <w:pStyle w:val="Piedepgina"/>
      <w:jc w:val="center"/>
      <w:rPr>
        <w:rFonts w:ascii="Times New Roman" w:hAnsi="Times New Roman" w:cs="Times New Roman"/>
        <w:sz w:val="28"/>
      </w:rPr>
    </w:pPr>
    <w:hyperlink r:id="rId2" w:history="1">
      <w:r w:rsidR="005E2497" w:rsidRPr="007559FA">
        <w:rPr>
          <w:rStyle w:val="Hipervnculo"/>
          <w:rFonts w:ascii="Times New Roman" w:hAnsi="Times New Roman" w:cs="Times New Roman"/>
          <w:sz w:val="28"/>
        </w:rPr>
        <w:t>www.uclv.edu.cu</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23C55" w:rsidRDefault="00623C55" w:rsidP="00C8585B">
      <w:pPr>
        <w:spacing w:after="0" w:line="240" w:lineRule="auto"/>
      </w:pPr>
      <w:r>
        <w:separator/>
      </w:r>
    </w:p>
  </w:footnote>
  <w:footnote w:type="continuationSeparator" w:id="0">
    <w:p w:rsidR="00623C55" w:rsidRDefault="00623C55" w:rsidP="00C8585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0758" w:rsidRPr="00640758" w:rsidRDefault="00640758" w:rsidP="00E83573">
    <w:pPr>
      <w:pStyle w:val="Encabezado"/>
      <w:jc w:val="center"/>
      <w:rPr>
        <w:rFonts w:ascii="Times New Roman" w:hAnsi="Times New Roman" w:cs="Times New Roman"/>
        <w:b/>
        <w:sz w:val="24"/>
      </w:rPr>
    </w:pPr>
    <w:r>
      <w:rPr>
        <w:rFonts w:ascii="Times New Roman" w:hAnsi="Times New Roman" w:cs="Times New Roman"/>
        <w:noProof/>
        <w:sz w:val="24"/>
        <w:szCs w:val="24"/>
      </w:rPr>
      <w:drawing>
        <wp:anchor distT="0" distB="0" distL="114300" distR="114300" simplePos="0" relativeHeight="251658240" behindDoc="1" locked="0" layoutInCell="1" allowOverlap="1">
          <wp:simplePos x="0" y="0"/>
          <wp:positionH relativeFrom="column">
            <wp:posOffset>5387340</wp:posOffset>
          </wp:positionH>
          <wp:positionV relativeFrom="paragraph">
            <wp:posOffset>-169545</wp:posOffset>
          </wp:positionV>
          <wp:extent cx="714375" cy="836295"/>
          <wp:effectExtent l="0" t="0" r="9525" b="1905"/>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14375" cy="836295"/>
                  </a:xfrm>
                  <a:prstGeom prst="rect">
                    <a:avLst/>
                  </a:prstGeom>
                  <a:noFill/>
                  <a:ln>
                    <a:noFill/>
                  </a:ln>
                </pic:spPr>
              </pic:pic>
            </a:graphicData>
          </a:graphic>
        </wp:anchor>
      </w:drawing>
    </w:r>
    <w:r w:rsidR="00E83573" w:rsidRPr="00640758">
      <w:rPr>
        <w:rFonts w:ascii="Times New Roman" w:hAnsi="Times New Roman" w:cs="Times New Roman"/>
        <w:b/>
        <w:sz w:val="24"/>
      </w:rPr>
      <w:t xml:space="preserve">PLANTILLA OFICIAL PARA LA </w:t>
    </w:r>
    <w:r w:rsidRPr="00640758">
      <w:rPr>
        <w:rFonts w:ascii="Times New Roman" w:hAnsi="Times New Roman" w:cs="Times New Roman"/>
        <w:b/>
        <w:sz w:val="24"/>
      </w:rPr>
      <w:t>PRESENTACIÓ</w:t>
    </w:r>
    <w:r w:rsidR="00E83573" w:rsidRPr="00640758">
      <w:rPr>
        <w:rFonts w:ascii="Times New Roman" w:hAnsi="Times New Roman" w:cs="Times New Roman"/>
        <w:b/>
        <w:sz w:val="24"/>
      </w:rPr>
      <w:t>N DE TRA</w:t>
    </w:r>
    <w:r w:rsidRPr="00640758">
      <w:rPr>
        <w:rFonts w:ascii="Times New Roman" w:hAnsi="Times New Roman" w:cs="Times New Roman"/>
        <w:b/>
        <w:sz w:val="24"/>
      </w:rPr>
      <w:t xml:space="preserve">BAJOS </w:t>
    </w:r>
  </w:p>
  <w:p w:rsidR="005E2497" w:rsidRDefault="00640758" w:rsidP="00E83573">
    <w:pPr>
      <w:pStyle w:val="Encabezado"/>
      <w:jc w:val="center"/>
      <w:rPr>
        <w:rFonts w:ascii="Times New Roman" w:hAnsi="Times New Roman" w:cs="Times New Roman"/>
        <w:b/>
        <w:sz w:val="24"/>
      </w:rPr>
    </w:pPr>
    <w:r w:rsidRPr="00640758">
      <w:rPr>
        <w:rFonts w:ascii="Times New Roman" w:hAnsi="Times New Roman" w:cs="Times New Roman"/>
        <w:b/>
        <w:sz w:val="24"/>
      </w:rPr>
      <w:t>II C</w:t>
    </w:r>
    <w:r>
      <w:rPr>
        <w:rFonts w:ascii="Times New Roman" w:hAnsi="Times New Roman" w:cs="Times New Roman"/>
        <w:b/>
        <w:sz w:val="24"/>
      </w:rPr>
      <w:t>ONVENCIÓ</w:t>
    </w:r>
    <w:r w:rsidRPr="00640758">
      <w:rPr>
        <w:rFonts w:ascii="Times New Roman" w:hAnsi="Times New Roman" w:cs="Times New Roman"/>
        <w:b/>
        <w:sz w:val="24"/>
      </w:rPr>
      <w:t>N CIENTÍ</w:t>
    </w:r>
    <w:r w:rsidR="00E83573" w:rsidRPr="00640758">
      <w:rPr>
        <w:rFonts w:ascii="Times New Roman" w:hAnsi="Times New Roman" w:cs="Times New Roman"/>
        <w:b/>
        <w:sz w:val="24"/>
      </w:rPr>
      <w:t xml:space="preserve">FICA INTERNACIONAL </w:t>
    </w:r>
  </w:p>
  <w:p w:rsidR="009D5E02" w:rsidRDefault="00E83573" w:rsidP="00E83573">
    <w:pPr>
      <w:pStyle w:val="Encabezado"/>
      <w:jc w:val="center"/>
      <w:rPr>
        <w:rFonts w:ascii="Times New Roman" w:hAnsi="Times New Roman" w:cs="Times New Roman"/>
        <w:sz w:val="24"/>
        <w:szCs w:val="24"/>
      </w:rPr>
    </w:pPr>
    <w:r w:rsidRPr="00640758">
      <w:rPr>
        <w:rFonts w:ascii="Times New Roman" w:hAnsi="Times New Roman" w:cs="Times New Roman"/>
        <w:b/>
        <w:sz w:val="24"/>
      </w:rPr>
      <w:t>“</w:t>
    </w:r>
    <w:r w:rsidR="008A2E7E">
      <w:rPr>
        <w:rFonts w:ascii="Times New Roman" w:hAnsi="Times New Roman" w:cs="Times New Roman"/>
        <w:b/>
        <w:sz w:val="24"/>
      </w:rPr>
      <w:t xml:space="preserve">II </w:t>
    </w:r>
    <w:r w:rsidR="00640758">
      <w:rPr>
        <w:rFonts w:ascii="Times New Roman" w:hAnsi="Times New Roman" w:cs="Times New Roman"/>
        <w:b/>
        <w:sz w:val="24"/>
      </w:rPr>
      <w:t xml:space="preserve">CCI </w:t>
    </w:r>
    <w:r w:rsidRPr="00640758">
      <w:rPr>
        <w:rFonts w:ascii="Times New Roman" w:hAnsi="Times New Roman" w:cs="Times New Roman"/>
        <w:b/>
        <w:sz w:val="24"/>
      </w:rPr>
      <w:t>UCLV 2019”</w:t>
    </w:r>
    <w:r w:rsidR="00640758" w:rsidRPr="00640758">
      <w:rPr>
        <w:rFonts w:ascii="Times New Roman" w:hAnsi="Times New Roman" w:cs="Times New Roman"/>
        <w:sz w:val="24"/>
        <w:szCs w:val="24"/>
      </w:rPr>
      <w:t xml:space="preserve"> </w:t>
    </w:r>
  </w:p>
  <w:p w:rsidR="005E2497" w:rsidRPr="00640758" w:rsidRDefault="00EA1598" w:rsidP="00E83573">
    <w:pPr>
      <w:pStyle w:val="Encabezado"/>
      <w:jc w:val="center"/>
      <w:rPr>
        <w:rFonts w:ascii="Times New Roman" w:hAnsi="Times New Roman" w:cs="Times New Roman"/>
        <w:b/>
        <w:sz w:val="24"/>
      </w:rPr>
    </w:pPr>
    <w:r>
      <w:rPr>
        <w:rFonts w:ascii="Times New Roman" w:hAnsi="Times New Roman" w:cs="Times New Roman"/>
        <w:noProof/>
        <w:sz w:val="20"/>
        <w:szCs w:val="20"/>
      </w:rPr>
      <w:drawing>
        <wp:anchor distT="0" distB="0" distL="114300" distR="114300" simplePos="0" relativeHeight="251659264" behindDoc="1" locked="0" layoutInCell="1" allowOverlap="1">
          <wp:simplePos x="0" y="0"/>
          <wp:positionH relativeFrom="column">
            <wp:posOffset>5390515</wp:posOffset>
          </wp:positionH>
          <wp:positionV relativeFrom="paragraph">
            <wp:posOffset>140970</wp:posOffset>
          </wp:positionV>
          <wp:extent cx="729615" cy="815975"/>
          <wp:effectExtent l="0" t="0" r="0" b="3175"/>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729615" cy="815975"/>
                  </a:xfrm>
                  <a:prstGeom prst="rect">
                    <a:avLst/>
                  </a:prstGeom>
                  <a:noFill/>
                  <a:ln>
                    <a:noFill/>
                  </a:ln>
                </pic:spPr>
              </pic:pic>
            </a:graphicData>
          </a:graphic>
        </wp:anchor>
      </w:drawing>
    </w:r>
  </w:p>
  <w:p w:rsidR="00640758" w:rsidRDefault="00640758" w:rsidP="00E83573">
    <w:pPr>
      <w:pStyle w:val="Encabezado"/>
      <w:jc w:val="center"/>
      <w:rPr>
        <w:rFonts w:ascii="Times New Roman" w:hAnsi="Times New Roman" w:cs="Times New Roman"/>
        <w:b/>
        <w:sz w:val="24"/>
      </w:rPr>
    </w:pPr>
    <w:r w:rsidRPr="00640758">
      <w:rPr>
        <w:rFonts w:ascii="Times New Roman" w:hAnsi="Times New Roman" w:cs="Times New Roman"/>
        <w:b/>
        <w:sz w:val="24"/>
      </w:rPr>
      <w:t xml:space="preserve">DEL 23 AL 30 DE JUNIO </w:t>
    </w:r>
    <w:r w:rsidR="008A2E7E">
      <w:rPr>
        <w:rFonts w:ascii="Times New Roman" w:hAnsi="Times New Roman" w:cs="Times New Roman"/>
        <w:b/>
        <w:sz w:val="24"/>
      </w:rPr>
      <w:t xml:space="preserve">DEL </w:t>
    </w:r>
    <w:r w:rsidRPr="00640758">
      <w:rPr>
        <w:rFonts w:ascii="Times New Roman" w:hAnsi="Times New Roman" w:cs="Times New Roman"/>
        <w:b/>
        <w:sz w:val="24"/>
      </w:rPr>
      <w:t xml:space="preserve">2019. </w:t>
    </w:r>
  </w:p>
  <w:p w:rsidR="00640758" w:rsidRDefault="00640758" w:rsidP="00E83573">
    <w:pPr>
      <w:pStyle w:val="Encabezado"/>
      <w:jc w:val="center"/>
      <w:rPr>
        <w:rFonts w:ascii="Times New Roman" w:hAnsi="Times New Roman" w:cs="Times New Roman"/>
        <w:b/>
        <w:sz w:val="24"/>
      </w:rPr>
    </w:pPr>
    <w:r>
      <w:rPr>
        <w:rFonts w:ascii="Times New Roman" w:hAnsi="Times New Roman" w:cs="Times New Roman"/>
        <w:b/>
        <w:sz w:val="24"/>
      </w:rPr>
      <w:t xml:space="preserve">CAYOS DE VILLA CLARA. </w:t>
    </w:r>
    <w:r w:rsidRPr="00640758">
      <w:rPr>
        <w:rFonts w:ascii="Times New Roman" w:hAnsi="Times New Roman" w:cs="Times New Roman"/>
        <w:b/>
        <w:sz w:val="24"/>
      </w:rPr>
      <w:t>CUBA</w:t>
    </w:r>
    <w:r w:rsidR="00EA1598">
      <w:rPr>
        <w:rFonts w:ascii="Times New Roman" w:hAnsi="Times New Roman" w:cs="Times New Roman"/>
        <w:b/>
        <w:sz w:val="24"/>
      </w:rPr>
      <w:t>.</w:t>
    </w:r>
  </w:p>
  <w:p w:rsidR="00EA1598" w:rsidRDefault="00EA1598" w:rsidP="00E83573">
    <w:pPr>
      <w:pStyle w:val="Encabezado"/>
      <w:jc w:val="center"/>
      <w:rPr>
        <w:rFonts w:ascii="Times New Roman" w:hAnsi="Times New Roman" w:cs="Times New Roman"/>
        <w:b/>
        <w:sz w:val="24"/>
      </w:rPr>
    </w:pPr>
  </w:p>
  <w:p w:rsidR="00EA1598" w:rsidRDefault="00EA1598" w:rsidP="00E83573">
    <w:pPr>
      <w:pStyle w:val="Encabezado"/>
      <w:jc w:val="center"/>
      <w:rPr>
        <w:rFonts w:ascii="Times New Roman" w:hAnsi="Times New Roman" w:cs="Times New Roman"/>
        <w:b/>
        <w:sz w:val="24"/>
      </w:rPr>
    </w:pPr>
  </w:p>
  <w:p w:rsidR="00640758" w:rsidRDefault="00640758" w:rsidP="00E83573">
    <w:pPr>
      <w:pStyle w:val="Encabezado"/>
      <w:jc w:val="center"/>
      <w:rPr>
        <w:rFonts w:ascii="Times New Roman" w:hAnsi="Times New Roman" w:cs="Times New Roman"/>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3B72B7E"/>
    <w:multiLevelType w:val="hybridMultilevel"/>
    <w:tmpl w:val="214A8E7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72C77A3A"/>
    <w:multiLevelType w:val="hybridMultilevel"/>
    <w:tmpl w:val="D11CD2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585B"/>
    <w:rsid w:val="00046F14"/>
    <w:rsid w:val="000C14DC"/>
    <w:rsid w:val="00114C82"/>
    <w:rsid w:val="0012608A"/>
    <w:rsid w:val="00144A47"/>
    <w:rsid w:val="00187A8B"/>
    <w:rsid w:val="001B61C9"/>
    <w:rsid w:val="0028724C"/>
    <w:rsid w:val="00296A50"/>
    <w:rsid w:val="002C4923"/>
    <w:rsid w:val="002E0882"/>
    <w:rsid w:val="002E272A"/>
    <w:rsid w:val="003068F5"/>
    <w:rsid w:val="003507F2"/>
    <w:rsid w:val="00362E5F"/>
    <w:rsid w:val="00403285"/>
    <w:rsid w:val="00464723"/>
    <w:rsid w:val="004C16C2"/>
    <w:rsid w:val="00573E66"/>
    <w:rsid w:val="005754D8"/>
    <w:rsid w:val="00584E8B"/>
    <w:rsid w:val="005E2497"/>
    <w:rsid w:val="00623C55"/>
    <w:rsid w:val="006240D6"/>
    <w:rsid w:val="006271E4"/>
    <w:rsid w:val="00640758"/>
    <w:rsid w:val="00667F10"/>
    <w:rsid w:val="00712A31"/>
    <w:rsid w:val="007559FA"/>
    <w:rsid w:val="00774ABA"/>
    <w:rsid w:val="00880790"/>
    <w:rsid w:val="0088159E"/>
    <w:rsid w:val="008A1C16"/>
    <w:rsid w:val="008A2E7E"/>
    <w:rsid w:val="008B06F8"/>
    <w:rsid w:val="009029F7"/>
    <w:rsid w:val="009061A5"/>
    <w:rsid w:val="0091621C"/>
    <w:rsid w:val="00920D37"/>
    <w:rsid w:val="00981856"/>
    <w:rsid w:val="009819FB"/>
    <w:rsid w:val="009B1EF2"/>
    <w:rsid w:val="009B3534"/>
    <w:rsid w:val="009B640C"/>
    <w:rsid w:val="009C254F"/>
    <w:rsid w:val="009D5E02"/>
    <w:rsid w:val="009D67CD"/>
    <w:rsid w:val="009D738B"/>
    <w:rsid w:val="00A10622"/>
    <w:rsid w:val="00A1177D"/>
    <w:rsid w:val="00A156A5"/>
    <w:rsid w:val="00A2042B"/>
    <w:rsid w:val="00A21A1F"/>
    <w:rsid w:val="00A45860"/>
    <w:rsid w:val="00A46D08"/>
    <w:rsid w:val="00A52FDD"/>
    <w:rsid w:val="00A62A14"/>
    <w:rsid w:val="00AD7048"/>
    <w:rsid w:val="00B2024E"/>
    <w:rsid w:val="00B80E97"/>
    <w:rsid w:val="00BF107B"/>
    <w:rsid w:val="00C17B47"/>
    <w:rsid w:val="00C56288"/>
    <w:rsid w:val="00C6208A"/>
    <w:rsid w:val="00C67776"/>
    <w:rsid w:val="00C8585B"/>
    <w:rsid w:val="00CD2BC3"/>
    <w:rsid w:val="00D05242"/>
    <w:rsid w:val="00D36D1C"/>
    <w:rsid w:val="00D73DE9"/>
    <w:rsid w:val="00D837AF"/>
    <w:rsid w:val="00E83573"/>
    <w:rsid w:val="00E912D0"/>
    <w:rsid w:val="00EA1598"/>
    <w:rsid w:val="00EA7584"/>
    <w:rsid w:val="00EE58E9"/>
    <w:rsid w:val="00F13B9D"/>
    <w:rsid w:val="00F43A32"/>
    <w:rsid w:val="00FB7AB6"/>
    <w:rsid w:val="00FF3346"/>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5426CE7-52C2-472B-AE1D-66A139154B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C8585B"/>
    <w:pPr>
      <w:tabs>
        <w:tab w:val="center" w:pos="4252"/>
        <w:tab w:val="right" w:pos="8504"/>
      </w:tabs>
      <w:spacing w:after="0" w:line="240" w:lineRule="auto"/>
    </w:pPr>
  </w:style>
  <w:style w:type="character" w:customStyle="1" w:styleId="EncabezadoCar">
    <w:name w:val="Encabezado Car"/>
    <w:basedOn w:val="Fuentedeprrafopredeter"/>
    <w:link w:val="Encabezado"/>
    <w:rsid w:val="00C8585B"/>
  </w:style>
  <w:style w:type="paragraph" w:styleId="Piedepgina">
    <w:name w:val="footer"/>
    <w:basedOn w:val="Normal"/>
    <w:link w:val="PiedepginaCar"/>
    <w:uiPriority w:val="99"/>
    <w:unhideWhenUsed/>
    <w:rsid w:val="00C8585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8585B"/>
  </w:style>
  <w:style w:type="paragraph" w:styleId="Textodeglobo">
    <w:name w:val="Balloon Text"/>
    <w:basedOn w:val="Normal"/>
    <w:link w:val="TextodegloboCar"/>
    <w:uiPriority w:val="99"/>
    <w:semiHidden/>
    <w:unhideWhenUsed/>
    <w:rsid w:val="00C8585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8585B"/>
    <w:rPr>
      <w:rFonts w:ascii="Tahoma" w:hAnsi="Tahoma" w:cs="Tahoma"/>
      <w:sz w:val="16"/>
      <w:szCs w:val="16"/>
    </w:rPr>
  </w:style>
  <w:style w:type="paragraph" w:styleId="Prrafodelista">
    <w:name w:val="List Paragraph"/>
    <w:basedOn w:val="Normal"/>
    <w:uiPriority w:val="34"/>
    <w:qFormat/>
    <w:rsid w:val="00A21A1F"/>
    <w:pPr>
      <w:ind w:left="720"/>
      <w:contextualSpacing/>
    </w:pPr>
  </w:style>
  <w:style w:type="character" w:styleId="Hipervnculo">
    <w:name w:val="Hyperlink"/>
    <w:basedOn w:val="Fuentedeprrafopredeter"/>
    <w:uiPriority w:val="99"/>
    <w:unhideWhenUsed/>
    <w:rsid w:val="00D36D1C"/>
    <w:rPr>
      <w:color w:val="0000FF" w:themeColor="hyperlink"/>
      <w:u w:val="single"/>
    </w:rPr>
  </w:style>
  <w:style w:type="paragraph" w:customStyle="1" w:styleId="Default">
    <w:name w:val="Default"/>
    <w:rsid w:val="00A10622"/>
    <w:pPr>
      <w:autoSpaceDE w:val="0"/>
      <w:autoSpaceDN w:val="0"/>
      <w:adjustRightInd w:val="0"/>
      <w:spacing w:after="0" w:line="240" w:lineRule="auto"/>
    </w:pPr>
    <w:rPr>
      <w:rFonts w:ascii="Arial" w:hAnsi="Arial" w:cs="Arial"/>
      <w:color w:val="000000"/>
      <w:sz w:val="24"/>
      <w:szCs w:val="24"/>
    </w:rPr>
  </w:style>
  <w:style w:type="paragraph" w:styleId="HTMLconformatoprevio">
    <w:name w:val="HTML Preformatted"/>
    <w:basedOn w:val="Normal"/>
    <w:link w:val="HTMLconformatoprevioCar"/>
    <w:uiPriority w:val="99"/>
    <w:unhideWhenUsed/>
    <w:rsid w:val="009818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rsid w:val="00981856"/>
    <w:rPr>
      <w:rFonts w:ascii="Courier New" w:eastAsia="Times New Roman" w:hAnsi="Courier New" w:cs="Courier New"/>
      <w:sz w:val="20"/>
      <w:szCs w:val="20"/>
      <w:lang w:eastAsia="es-ES"/>
    </w:rPr>
  </w:style>
  <w:style w:type="character" w:customStyle="1" w:styleId="hps">
    <w:name w:val="hps"/>
    <w:basedOn w:val="Fuentedeprrafopredeter"/>
    <w:rsid w:val="00C677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3822479">
      <w:bodyDiv w:val="1"/>
      <w:marLeft w:val="0"/>
      <w:marRight w:val="0"/>
      <w:marTop w:val="0"/>
      <w:marBottom w:val="0"/>
      <w:divBdr>
        <w:top w:val="none" w:sz="0" w:space="0" w:color="auto"/>
        <w:left w:val="none" w:sz="0" w:space="0" w:color="auto"/>
        <w:bottom w:val="none" w:sz="0" w:space="0" w:color="auto"/>
        <w:right w:val="none" w:sz="0" w:space="0" w:color="auto"/>
      </w:divBdr>
    </w:div>
    <w:div w:id="501504058">
      <w:bodyDiv w:val="1"/>
      <w:marLeft w:val="0"/>
      <w:marRight w:val="0"/>
      <w:marTop w:val="0"/>
      <w:marBottom w:val="0"/>
      <w:divBdr>
        <w:top w:val="none" w:sz="0" w:space="0" w:color="auto"/>
        <w:left w:val="none" w:sz="0" w:space="0" w:color="auto"/>
        <w:bottom w:val="none" w:sz="0" w:space="0" w:color="auto"/>
        <w:right w:val="none" w:sz="0" w:space="0" w:color="auto"/>
      </w:divBdr>
      <w:divsChild>
        <w:div w:id="1524662011">
          <w:marLeft w:val="0"/>
          <w:marRight w:val="0"/>
          <w:marTop w:val="0"/>
          <w:marBottom w:val="0"/>
          <w:divBdr>
            <w:top w:val="none" w:sz="0" w:space="0" w:color="auto"/>
            <w:left w:val="none" w:sz="0" w:space="0" w:color="auto"/>
            <w:bottom w:val="none" w:sz="0" w:space="0" w:color="auto"/>
            <w:right w:val="none" w:sz="0" w:space="0" w:color="auto"/>
          </w:divBdr>
          <w:divsChild>
            <w:div w:id="1541628207">
              <w:marLeft w:val="0"/>
              <w:marRight w:val="0"/>
              <w:marTop w:val="0"/>
              <w:marBottom w:val="0"/>
              <w:divBdr>
                <w:top w:val="none" w:sz="0" w:space="0" w:color="auto"/>
                <w:left w:val="none" w:sz="0" w:space="0" w:color="auto"/>
                <w:bottom w:val="none" w:sz="0" w:space="0" w:color="auto"/>
                <w:right w:val="none" w:sz="0" w:space="0" w:color="auto"/>
              </w:divBdr>
              <w:divsChild>
                <w:div w:id="1140537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1892335">
      <w:bodyDiv w:val="1"/>
      <w:marLeft w:val="0"/>
      <w:marRight w:val="0"/>
      <w:marTop w:val="0"/>
      <w:marBottom w:val="0"/>
      <w:divBdr>
        <w:top w:val="none" w:sz="0" w:space="0" w:color="auto"/>
        <w:left w:val="none" w:sz="0" w:space="0" w:color="auto"/>
        <w:bottom w:val="none" w:sz="0" w:space="0" w:color="auto"/>
        <w:right w:val="none" w:sz="0" w:space="0" w:color="auto"/>
      </w:divBdr>
    </w:div>
    <w:div w:id="885676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edromc@uclv.cu" TargetMode="External"/><Relationship Id="rId13" Type="http://schemas.openxmlformats.org/officeDocument/2006/relationships/hyperlink" Target="https://www.laica.co.cr/biblioteca/servlet/DownloadServlet"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isbelrs@uclv.cu" TargetMode="External"/><Relationship Id="rId12" Type="http://schemas.openxmlformats.org/officeDocument/2006/relationships/chart" Target="charts/chart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hyperlink" Target="mailto:ubaldoah@uclv.cu" TargetMode="External"/><Relationship Id="rId14" Type="http://schemas.openxmlformats.org/officeDocument/2006/relationships/hyperlink" Target="https://www.laica.co.cr/biblioteca2/verSubcategoria.do?p=3&amp;c=443&amp;s=2521"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uclv.edu.cu" TargetMode="External"/><Relationship Id="rId1" Type="http://schemas.openxmlformats.org/officeDocument/2006/relationships/hyperlink" Target="mailto:convencionuclv@uclv.cu"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package" Target="../embeddings/Hoja_de_c_lculo_de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Hoja_de_c_lculo_de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Hoja_de_c_lculo_de_Microsoft_Excel3.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000" b="0" i="0" u="none" strike="noStrike" baseline="0">
                <a:solidFill>
                  <a:srgbClr val="000000"/>
                </a:solidFill>
                <a:latin typeface="Calibri"/>
                <a:ea typeface="Calibri"/>
                <a:cs typeface="Calibri"/>
              </a:defRPr>
            </a:pPr>
            <a:r>
              <a:rPr lang="es-ES" sz="1400" b="0" i="0" u="none" strike="noStrike" baseline="0">
                <a:solidFill>
                  <a:srgbClr val="333333"/>
                </a:solidFill>
                <a:latin typeface="Calibri"/>
                <a:cs typeface="Calibri"/>
              </a:rPr>
              <a:t>Área foliar por tallo (m</a:t>
            </a:r>
            <a:r>
              <a:rPr lang="es-ES" sz="1400" b="0" i="0" u="none" strike="noStrike" baseline="30000">
                <a:solidFill>
                  <a:srgbClr val="333333"/>
                </a:solidFill>
                <a:latin typeface="Calibri"/>
                <a:cs typeface="Calibri"/>
              </a:rPr>
              <a:t>2</a:t>
            </a:r>
            <a:r>
              <a:rPr lang="es-ES" sz="1400" b="0" i="0" u="none" strike="noStrike" baseline="0">
                <a:solidFill>
                  <a:srgbClr val="333333"/>
                </a:solidFill>
                <a:latin typeface="Calibri"/>
                <a:cs typeface="Calibri"/>
              </a:rPr>
              <a:t>)</a:t>
            </a:r>
          </a:p>
        </c:rich>
      </c:tx>
      <c:overlay val="0"/>
      <c:spPr>
        <a:noFill/>
        <a:ln w="25400">
          <a:noFill/>
        </a:ln>
      </c:spPr>
    </c:title>
    <c:autoTitleDeleted val="0"/>
    <c:plotArea>
      <c:layout/>
      <c:barChart>
        <c:barDir val="col"/>
        <c:grouping val="clustered"/>
        <c:varyColors val="0"/>
        <c:ser>
          <c:idx val="0"/>
          <c:order val="0"/>
          <c:tx>
            <c:strRef>
              <c:f>Hoja1!$B$1</c:f>
              <c:strCache>
                <c:ptCount val="1"/>
                <c:pt idx="0">
                  <c:v>Serie 1</c:v>
                </c:pt>
              </c:strCache>
            </c:strRef>
          </c:tx>
          <c:spPr>
            <a:solidFill>
              <a:srgbClr val="00B050"/>
            </a:solidFill>
            <a:ln w="25400">
              <a:noFill/>
            </a:ln>
          </c:spPr>
          <c:invertIfNegative val="0"/>
          <c:dLbls>
            <c:dLbl>
              <c:idx val="0"/>
              <c:layout>
                <c:manualLayout>
                  <c:x val="-2.116650987770461E-2"/>
                  <c:y val="-7.3908976204590974E-17"/>
                </c:manualLayout>
              </c:layout>
              <c:tx>
                <c:rich>
                  <a:bodyPr/>
                  <a:lstStyle/>
                  <a:p>
                    <a:pPr>
                      <a:defRPr sz="900" b="0" i="0" u="none" strike="noStrike" baseline="0">
                        <a:solidFill>
                          <a:srgbClr val="333333"/>
                        </a:solidFill>
                        <a:latin typeface="Calibri"/>
                        <a:ea typeface="Calibri"/>
                        <a:cs typeface="Calibri"/>
                      </a:defRPr>
                    </a:pPr>
                    <a:r>
                      <a:rPr lang="en-US"/>
                      <a:t>0,25b</a:t>
                    </a:r>
                  </a:p>
                </c:rich>
              </c:tx>
              <c:spPr>
                <a:noFill/>
                <a:ln w="25400">
                  <a:noFill/>
                </a:ln>
              </c:spPr>
              <c:dLblPos val="outEnd"/>
              <c:showLegendKey val="0"/>
              <c:showVal val="0"/>
              <c:showCatName val="0"/>
              <c:showSerName val="0"/>
              <c:showPercent val="0"/>
              <c:showBubbleSize val="0"/>
              <c:extLst>
                <c:ext xmlns:c15="http://schemas.microsoft.com/office/drawing/2012/chart" uri="{CE6537A1-D6FC-4f65-9D91-7224C49458BB}"/>
              </c:extLst>
            </c:dLbl>
            <c:dLbl>
              <c:idx val="1"/>
              <c:tx>
                <c:rich>
                  <a:bodyPr/>
                  <a:lstStyle/>
                  <a:p>
                    <a:pPr>
                      <a:defRPr sz="900" b="0" i="0" u="none" strike="noStrike" baseline="0">
                        <a:solidFill>
                          <a:srgbClr val="333333"/>
                        </a:solidFill>
                        <a:latin typeface="Calibri"/>
                        <a:ea typeface="Calibri"/>
                        <a:cs typeface="Calibri"/>
                      </a:defRPr>
                    </a:pPr>
                    <a:r>
                      <a:rPr lang="en-US"/>
                      <a:t>0,31a</a:t>
                    </a:r>
                  </a:p>
                </c:rich>
              </c:tx>
              <c:spPr>
                <a:noFill/>
                <a:ln w="25400">
                  <a:noFill/>
                </a:ln>
              </c:spPr>
              <c:dLblPos val="outEnd"/>
              <c:showLegendKey val="0"/>
              <c:showVal val="0"/>
              <c:showCatName val="0"/>
              <c:showSerName val="0"/>
              <c:showPercent val="0"/>
              <c:showBubbleSize val="0"/>
              <c:extLst>
                <c:ext xmlns:c15="http://schemas.microsoft.com/office/drawing/2012/chart" uri="{CE6537A1-D6FC-4f65-9D91-7224C49458BB}"/>
              </c:extLst>
            </c:dLbl>
            <c:dLbl>
              <c:idx val="2"/>
              <c:tx>
                <c:rich>
                  <a:bodyPr/>
                  <a:lstStyle/>
                  <a:p>
                    <a:pPr>
                      <a:defRPr sz="900" b="0" i="0" u="none" strike="noStrike" baseline="0">
                        <a:solidFill>
                          <a:srgbClr val="333333"/>
                        </a:solidFill>
                        <a:latin typeface="Calibri"/>
                        <a:ea typeface="Calibri"/>
                        <a:cs typeface="Calibri"/>
                      </a:defRPr>
                    </a:pPr>
                    <a:r>
                      <a:rPr lang="en-US"/>
                      <a:t>0,29ab</a:t>
                    </a:r>
                  </a:p>
                </c:rich>
              </c:tx>
              <c:spPr>
                <a:noFill/>
                <a:ln w="25400">
                  <a:noFill/>
                </a:ln>
              </c:spPr>
              <c:dLblPos val="outEnd"/>
              <c:showLegendKey val="0"/>
              <c:showVal val="0"/>
              <c:showCatName val="0"/>
              <c:showSerName val="0"/>
              <c:showPercent val="0"/>
              <c:showBubbleSize val="0"/>
              <c:extLst>
                <c:ext xmlns:c15="http://schemas.microsoft.com/office/drawing/2012/chart" uri="{CE6537A1-D6FC-4f65-9D91-7224C49458BB}"/>
              </c:extLst>
            </c:dLbl>
            <c:spPr>
              <a:noFill/>
              <a:ln w="25400">
                <a:noFill/>
              </a:ln>
            </c:spPr>
            <c:txPr>
              <a:bodyPr wrap="square" lIns="38100" tIns="19050" rIns="38100" bIns="19050" anchor="ctr">
                <a:spAutoFit/>
              </a:bodyPr>
              <a:lstStyle/>
              <a:p>
                <a:pPr>
                  <a:defRPr sz="900" b="0" i="0" u="none" strike="noStrike" baseline="0">
                    <a:solidFill>
                      <a:srgbClr val="333333"/>
                    </a:solidFill>
                    <a:latin typeface="Calibri"/>
                    <a:ea typeface="Calibri"/>
                    <a:cs typeface="Calibri"/>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stdErr"/>
            <c:noEndCap val="1"/>
            <c:spPr>
              <a:noFill/>
              <a:ln w="9525" cap="flat" cmpd="sng" algn="ctr">
                <a:solidFill>
                  <a:srgbClr val="00B050"/>
                </a:solidFill>
                <a:round/>
              </a:ln>
              <a:effectLst/>
            </c:spPr>
          </c:errBars>
          <c:cat>
            <c:strRef>
              <c:f>Hoja1!$A$2:$A$4</c:f>
              <c:strCache>
                <c:ptCount val="3"/>
                <c:pt idx="0">
                  <c:v>Trat 1,40m</c:v>
                </c:pt>
                <c:pt idx="1">
                  <c:v>Trat Base ancha</c:v>
                </c:pt>
                <c:pt idx="2">
                  <c:v>Trat 1,60m</c:v>
                </c:pt>
              </c:strCache>
            </c:strRef>
          </c:cat>
          <c:val>
            <c:numRef>
              <c:f>Hoja1!$B$2:$B$4</c:f>
              <c:numCache>
                <c:formatCode>General</c:formatCode>
                <c:ptCount val="3"/>
                <c:pt idx="0">
                  <c:v>0.25</c:v>
                </c:pt>
                <c:pt idx="1">
                  <c:v>0.31</c:v>
                </c:pt>
                <c:pt idx="2">
                  <c:v>0.28999999999999998</c:v>
                </c:pt>
              </c:numCache>
            </c:numRef>
          </c:val>
        </c:ser>
        <c:dLbls>
          <c:showLegendKey val="0"/>
          <c:showVal val="0"/>
          <c:showCatName val="0"/>
          <c:showSerName val="0"/>
          <c:showPercent val="0"/>
          <c:showBubbleSize val="0"/>
        </c:dLbls>
        <c:gapWidth val="219"/>
        <c:overlap val="-27"/>
        <c:axId val="1646529808"/>
        <c:axId val="1646532528"/>
      </c:barChart>
      <c:catAx>
        <c:axId val="1646529808"/>
        <c:scaling>
          <c:orientation val="minMax"/>
        </c:scaling>
        <c:delete val="0"/>
        <c:axPos val="b"/>
        <c:title>
          <c:tx>
            <c:rich>
              <a:bodyPr/>
              <a:lstStyle/>
              <a:p>
                <a:pPr>
                  <a:defRPr sz="1000" b="0" i="0" u="none" strike="noStrike" baseline="0">
                    <a:solidFill>
                      <a:srgbClr val="000000"/>
                    </a:solidFill>
                    <a:latin typeface="Calibri"/>
                    <a:ea typeface="Calibri"/>
                    <a:cs typeface="Calibri"/>
                  </a:defRPr>
                </a:pPr>
                <a:r>
                  <a:rPr lang="es-ES" sz="1000" b="0" i="0" u="none" strike="noStrike" baseline="0">
                    <a:solidFill>
                      <a:srgbClr val="333333"/>
                    </a:solidFill>
                    <a:latin typeface="Calibri"/>
                  </a:rPr>
                  <a:t> EE</a:t>
                </a:r>
                <a:r>
                  <a:rPr lang="es-ES" sz="1000" b="0" i="0" u="none" strike="noStrike" baseline="0">
                    <a:solidFill>
                      <a:srgbClr val="333333"/>
                    </a:solidFill>
                    <a:latin typeface="Cambria Math"/>
                    <a:ea typeface="Cambria Math"/>
                  </a:rPr>
                  <a:t>𝑋</a:t>
                </a:r>
                <a:r>
                  <a:rPr lang="es-ES" sz="1000" b="0" i="0" u="none" strike="noStrike" baseline="0">
                    <a:solidFill>
                      <a:srgbClr val="333333"/>
                    </a:solidFill>
                    <a:latin typeface="Calibri"/>
                    <a:ea typeface="Cambria Math"/>
                  </a:rPr>
                  <a:t> ̅ 0,02 </a:t>
                </a:r>
              </a:p>
              <a:p>
                <a:pPr>
                  <a:defRPr sz="1000" b="0" i="0" u="none" strike="noStrike" baseline="0">
                    <a:solidFill>
                      <a:srgbClr val="000000"/>
                    </a:solidFill>
                    <a:latin typeface="Calibri"/>
                    <a:ea typeface="Calibri"/>
                    <a:cs typeface="Calibri"/>
                  </a:defRPr>
                </a:pPr>
                <a:r>
                  <a:rPr lang="es-ES" sz="1000" b="0" i="0" u="none" strike="noStrike" baseline="0">
                    <a:solidFill>
                      <a:srgbClr val="333333"/>
                    </a:solidFill>
                    <a:latin typeface="Calibri"/>
                  </a:rPr>
                  <a:t>(a,b,c) medias con letras no comunes difieren por LSD para</a:t>
                </a:r>
              </a:p>
              <a:p>
                <a:pPr>
                  <a:defRPr sz="1000" b="0" i="0" u="none" strike="noStrike" baseline="0">
                    <a:solidFill>
                      <a:srgbClr val="000000"/>
                    </a:solidFill>
                    <a:latin typeface="Calibri"/>
                    <a:ea typeface="Calibri"/>
                    <a:cs typeface="Calibri"/>
                  </a:defRPr>
                </a:pPr>
                <a:r>
                  <a:rPr lang="es-ES" sz="1000" b="0" i="0" u="none" strike="noStrike" baseline="0">
                    <a:solidFill>
                      <a:srgbClr val="333333"/>
                    </a:solidFill>
                    <a:latin typeface="Calibri"/>
                  </a:rPr>
                  <a:t> p ≤ 0,05 </a:t>
                </a:r>
              </a:p>
            </c:rich>
          </c:tx>
          <c:layout>
            <c:manualLayout>
              <c:xMode val="edge"/>
              <c:yMode val="edge"/>
              <c:x val="0.1274252815172297"/>
              <c:y val="0.82075693219735546"/>
            </c:manualLayout>
          </c:layout>
          <c:overlay val="0"/>
          <c:spPr>
            <a:noFill/>
            <a:ln w="25400">
              <a:noFill/>
            </a:ln>
          </c:spPr>
        </c:title>
        <c:numFmt formatCode="General" sourceLinked="1"/>
        <c:majorTickMark val="none"/>
        <c:minorTickMark val="none"/>
        <c:tickLblPos val="nextTo"/>
        <c:spPr>
          <a:noFill/>
          <a:ln w="9525" cap="flat" cmpd="sng" algn="ctr">
            <a:solidFill>
              <a:sysClr val="windowText" lastClr="000000"/>
            </a:solidFill>
            <a:round/>
          </a:ln>
          <a:effectLst/>
        </c:spPr>
        <c:txPr>
          <a:bodyPr rot="0" vert="horz"/>
          <a:lstStyle/>
          <a:p>
            <a:pPr>
              <a:defRPr sz="900" b="0" i="0" u="none" strike="noStrike" baseline="0">
                <a:solidFill>
                  <a:srgbClr val="333333"/>
                </a:solidFill>
                <a:latin typeface="Calibri"/>
                <a:ea typeface="Calibri"/>
                <a:cs typeface="Calibri"/>
              </a:defRPr>
            </a:pPr>
            <a:endParaRPr lang="es-ES"/>
          </a:p>
        </c:txPr>
        <c:crossAx val="1646532528"/>
        <c:crosses val="autoZero"/>
        <c:auto val="1"/>
        <c:lblAlgn val="ctr"/>
        <c:lblOffset val="100"/>
        <c:noMultiLvlLbl val="0"/>
      </c:catAx>
      <c:valAx>
        <c:axId val="1646532528"/>
        <c:scaling>
          <c:orientation val="minMax"/>
        </c:scaling>
        <c:delete val="0"/>
        <c:axPos val="l"/>
        <c:title>
          <c:tx>
            <c:rich>
              <a:bodyPr/>
              <a:lstStyle/>
              <a:p>
                <a:pPr>
                  <a:defRPr sz="1000" b="0" i="0" u="none" strike="noStrike" baseline="0">
                    <a:solidFill>
                      <a:srgbClr val="000000"/>
                    </a:solidFill>
                    <a:latin typeface="Calibri"/>
                    <a:ea typeface="Calibri"/>
                    <a:cs typeface="Calibri"/>
                  </a:defRPr>
                </a:pPr>
                <a:r>
                  <a:rPr lang="es-ES" sz="1000" b="0" i="0" u="none" strike="noStrike" baseline="0">
                    <a:solidFill>
                      <a:srgbClr val="333333"/>
                    </a:solidFill>
                    <a:latin typeface="Calibri"/>
                    <a:cs typeface="Calibri"/>
                  </a:rPr>
                  <a:t>Área foliar (</a:t>
                </a:r>
                <a:r>
                  <a:rPr lang="es-ES" sz="1000" b="1" i="0" u="none" strike="noStrike" baseline="0">
                    <a:solidFill>
                      <a:srgbClr val="333333"/>
                    </a:solidFill>
                    <a:latin typeface="Calibri"/>
                    <a:cs typeface="Calibri"/>
                  </a:rPr>
                  <a:t>m</a:t>
                </a:r>
                <a:r>
                  <a:rPr lang="es-ES" sz="1000" b="1" i="0" u="none" strike="noStrike" baseline="30000">
                    <a:solidFill>
                      <a:srgbClr val="333333"/>
                    </a:solidFill>
                    <a:latin typeface="Calibri"/>
                    <a:cs typeface="Calibri"/>
                  </a:rPr>
                  <a:t>2</a:t>
                </a:r>
                <a:r>
                  <a:rPr lang="es-ES" sz="1000" b="1" i="0" u="none" strike="noStrike" baseline="0">
                    <a:solidFill>
                      <a:srgbClr val="333333"/>
                    </a:solidFill>
                    <a:latin typeface="Calibri"/>
                    <a:cs typeface="Calibri"/>
                  </a:rPr>
                  <a:t> )</a:t>
                </a:r>
              </a:p>
            </c:rich>
          </c:tx>
          <c:overlay val="0"/>
          <c:spPr>
            <a:noFill/>
            <a:ln w="25400">
              <a:noFill/>
            </a:ln>
          </c:spPr>
        </c:title>
        <c:numFmt formatCode="General" sourceLinked="1"/>
        <c:majorTickMark val="none"/>
        <c:minorTickMark val="none"/>
        <c:tickLblPos val="nextTo"/>
        <c:spPr>
          <a:ln w="6350">
            <a:solidFill>
              <a:sysClr val="windowText" lastClr="000000"/>
            </a:solidFill>
          </a:ln>
        </c:spPr>
        <c:txPr>
          <a:bodyPr rot="0" vert="horz"/>
          <a:lstStyle/>
          <a:p>
            <a:pPr>
              <a:defRPr sz="900" b="0" i="0" u="none" strike="noStrike" baseline="0">
                <a:solidFill>
                  <a:srgbClr val="333333"/>
                </a:solidFill>
                <a:latin typeface="Calibri"/>
                <a:ea typeface="Calibri"/>
                <a:cs typeface="Calibri"/>
              </a:defRPr>
            </a:pPr>
            <a:endParaRPr lang="es-ES"/>
          </a:p>
        </c:txPr>
        <c:crossAx val="1646529808"/>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b="0" i="0" u="none" strike="noStrike" baseline="0">
          <a:solidFill>
            <a:srgbClr val="000000"/>
          </a:solidFill>
          <a:latin typeface="Calibri"/>
          <a:ea typeface="Calibri"/>
          <a:cs typeface="Calibri"/>
        </a:defRPr>
      </a:pPr>
      <a:endParaRPr lang="es-E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0896560053887069"/>
          <c:y val="0.13850220058973098"/>
          <c:w val="0.82552336164266304"/>
          <c:h val="0.56158217064972149"/>
        </c:manualLayout>
      </c:layout>
      <c:lineChart>
        <c:grouping val="standard"/>
        <c:varyColors val="0"/>
        <c:ser>
          <c:idx val="0"/>
          <c:order val="0"/>
          <c:tx>
            <c:strRef>
              <c:f>Hoja1!$B$1</c:f>
              <c:strCache>
                <c:ptCount val="1"/>
                <c:pt idx="0">
                  <c:v>Promedio entrenudos 146ddp</c:v>
                </c:pt>
              </c:strCache>
            </c:strRef>
          </c:tx>
          <c:spPr>
            <a:ln w="28424" cap="rnd">
              <a:solidFill>
                <a:srgbClr val="00B050"/>
              </a:solidFill>
              <a:round/>
            </a:ln>
            <a:effectLst/>
          </c:spPr>
          <c:marker>
            <c:symbol val="none"/>
          </c:marker>
          <c:dLbls>
            <c:dLbl>
              <c:idx val="0"/>
              <c:tx>
                <c:rich>
                  <a:bodyPr/>
                  <a:lstStyle/>
                  <a:p>
                    <a:pPr>
                      <a:defRPr sz="895" b="1" i="0" u="none" strike="noStrike" baseline="0">
                        <a:solidFill>
                          <a:sysClr val="windowText" lastClr="000000"/>
                        </a:solidFill>
                        <a:latin typeface="Arial" panose="020B0604020202020204" pitchFamily="34" charset="0"/>
                        <a:ea typeface="Calibri"/>
                        <a:cs typeface="Arial" panose="020B0604020202020204" pitchFamily="34" charset="0"/>
                      </a:defRPr>
                    </a:pPr>
                    <a:r>
                      <a:rPr lang="en-US" b="1">
                        <a:solidFill>
                          <a:sysClr val="windowText" lastClr="000000"/>
                        </a:solidFill>
                        <a:latin typeface="Arial" panose="020B0604020202020204" pitchFamily="34" charset="0"/>
                        <a:cs typeface="Arial" panose="020B0604020202020204" pitchFamily="34" charset="0"/>
                      </a:rPr>
                      <a:t>7,7a</a:t>
                    </a:r>
                  </a:p>
                </c:rich>
              </c:tx>
              <c:spPr>
                <a:noFill/>
                <a:ln w="25266">
                  <a:noFill/>
                </a:ln>
              </c:spPr>
              <c:dLblPos val="t"/>
              <c:showLegendKey val="0"/>
              <c:showVal val="0"/>
              <c:showCatName val="0"/>
              <c:showSerName val="0"/>
              <c:showPercent val="0"/>
              <c:showBubbleSize val="0"/>
              <c:extLst>
                <c:ext xmlns:c15="http://schemas.microsoft.com/office/drawing/2012/chart" uri="{CE6537A1-D6FC-4f65-9D91-7224C49458BB}"/>
              </c:extLst>
            </c:dLbl>
            <c:dLbl>
              <c:idx val="1"/>
              <c:tx>
                <c:rich>
                  <a:bodyPr/>
                  <a:lstStyle/>
                  <a:p>
                    <a:pPr>
                      <a:defRPr sz="895" b="1" i="0" u="none" strike="noStrike" baseline="0">
                        <a:solidFill>
                          <a:sysClr val="windowText" lastClr="000000"/>
                        </a:solidFill>
                        <a:latin typeface="Arial" panose="020B0604020202020204" pitchFamily="34" charset="0"/>
                        <a:ea typeface="Calibri"/>
                        <a:cs typeface="Arial" panose="020B0604020202020204" pitchFamily="34" charset="0"/>
                      </a:defRPr>
                    </a:pPr>
                    <a:r>
                      <a:rPr lang="en-US" b="1">
                        <a:solidFill>
                          <a:sysClr val="windowText" lastClr="000000"/>
                        </a:solidFill>
                        <a:latin typeface="Arial" panose="020B0604020202020204" pitchFamily="34" charset="0"/>
                        <a:cs typeface="Arial" panose="020B0604020202020204" pitchFamily="34" charset="0"/>
                      </a:rPr>
                      <a:t>8,1a</a:t>
                    </a:r>
                  </a:p>
                </c:rich>
              </c:tx>
              <c:spPr>
                <a:noFill/>
                <a:ln w="25266">
                  <a:noFill/>
                </a:ln>
              </c:spPr>
              <c:dLblPos val="t"/>
              <c:showLegendKey val="0"/>
              <c:showVal val="0"/>
              <c:showCatName val="0"/>
              <c:showSerName val="0"/>
              <c:showPercent val="0"/>
              <c:showBubbleSize val="0"/>
              <c:extLst>
                <c:ext xmlns:c15="http://schemas.microsoft.com/office/drawing/2012/chart" uri="{CE6537A1-D6FC-4f65-9D91-7224C49458BB}"/>
              </c:extLst>
            </c:dLbl>
            <c:dLbl>
              <c:idx val="2"/>
              <c:tx>
                <c:rich>
                  <a:bodyPr/>
                  <a:lstStyle/>
                  <a:p>
                    <a:pPr>
                      <a:defRPr sz="895" b="1" i="0" u="none" strike="noStrike" baseline="0">
                        <a:solidFill>
                          <a:sysClr val="windowText" lastClr="000000"/>
                        </a:solidFill>
                        <a:latin typeface="Arial" panose="020B0604020202020204" pitchFamily="34" charset="0"/>
                        <a:ea typeface="Calibri"/>
                        <a:cs typeface="Arial" panose="020B0604020202020204" pitchFamily="34" charset="0"/>
                      </a:defRPr>
                    </a:pPr>
                    <a:r>
                      <a:rPr lang="en-US" b="1">
                        <a:solidFill>
                          <a:sysClr val="windowText" lastClr="000000"/>
                        </a:solidFill>
                        <a:latin typeface="Arial" panose="020B0604020202020204" pitchFamily="34" charset="0"/>
                        <a:cs typeface="Arial" panose="020B0604020202020204" pitchFamily="34" charset="0"/>
                      </a:rPr>
                      <a:t>8,5a</a:t>
                    </a:r>
                  </a:p>
                </c:rich>
              </c:tx>
              <c:spPr>
                <a:noFill/>
                <a:ln w="25266">
                  <a:noFill/>
                </a:ln>
              </c:spPr>
              <c:dLblPos val="t"/>
              <c:showLegendKey val="0"/>
              <c:showVal val="0"/>
              <c:showCatName val="0"/>
              <c:showSerName val="0"/>
              <c:showPercent val="0"/>
              <c:showBubbleSize val="0"/>
              <c:extLst>
                <c:ext xmlns:c15="http://schemas.microsoft.com/office/drawing/2012/chart" uri="{CE6537A1-D6FC-4f65-9D91-7224C49458BB}"/>
              </c:extLst>
            </c:dLbl>
            <c:spPr>
              <a:noFill/>
              <a:ln w="25266">
                <a:noFill/>
              </a:ln>
            </c:spPr>
            <c:txPr>
              <a:bodyPr wrap="square" lIns="38100" tIns="19050" rIns="38100" bIns="19050" anchor="ctr">
                <a:spAutoFit/>
              </a:bodyPr>
              <a:lstStyle/>
              <a:p>
                <a:pPr>
                  <a:defRPr sz="895" b="1" i="0" u="none" strike="noStrike" baseline="0">
                    <a:solidFill>
                      <a:sysClr val="windowText" lastClr="000000"/>
                    </a:solidFill>
                    <a:latin typeface="Arial" panose="020B0604020202020204" pitchFamily="34" charset="0"/>
                    <a:ea typeface="Calibri"/>
                    <a:cs typeface="Arial" panose="020B0604020202020204" pitchFamily="34" charset="0"/>
                  </a:defRPr>
                </a:pPr>
                <a:endParaRPr lang="es-E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Hoja1!$A$2:$A$4</c:f>
              <c:strCache>
                <c:ptCount val="3"/>
                <c:pt idx="0">
                  <c:v>1,60m</c:v>
                </c:pt>
                <c:pt idx="1">
                  <c:v>1,40m</c:v>
                </c:pt>
                <c:pt idx="2">
                  <c:v>Base ancha</c:v>
                </c:pt>
              </c:strCache>
            </c:strRef>
          </c:cat>
          <c:val>
            <c:numRef>
              <c:f>Hoja1!$B$2:$B$4</c:f>
              <c:numCache>
                <c:formatCode>General</c:formatCode>
                <c:ptCount val="3"/>
                <c:pt idx="0">
                  <c:v>7.7</c:v>
                </c:pt>
                <c:pt idx="1">
                  <c:v>8.1</c:v>
                </c:pt>
                <c:pt idx="2">
                  <c:v>8.5</c:v>
                </c:pt>
              </c:numCache>
            </c:numRef>
          </c:val>
          <c:smooth val="0"/>
        </c:ser>
        <c:ser>
          <c:idx val="1"/>
          <c:order val="1"/>
          <c:tx>
            <c:strRef>
              <c:f>Hoja1!$C$1</c:f>
              <c:strCache>
                <c:ptCount val="1"/>
                <c:pt idx="0">
                  <c:v>Promedio de entrenudos 259 ddp</c:v>
                </c:pt>
              </c:strCache>
            </c:strRef>
          </c:tx>
          <c:spPr>
            <a:ln w="25266">
              <a:solidFill>
                <a:srgbClr val="00FF00"/>
              </a:solidFill>
              <a:prstDash val="solid"/>
            </a:ln>
          </c:spPr>
          <c:marker>
            <c:symbol val="none"/>
          </c:marker>
          <c:dLbls>
            <c:dLbl>
              <c:idx val="0"/>
              <c:tx>
                <c:rich>
                  <a:bodyPr/>
                  <a:lstStyle/>
                  <a:p>
                    <a:pPr>
                      <a:defRPr sz="895" b="1" i="0" u="none" strike="noStrike" baseline="0">
                        <a:solidFill>
                          <a:sysClr val="windowText" lastClr="000000"/>
                        </a:solidFill>
                        <a:latin typeface="Arial" panose="020B0604020202020204" pitchFamily="34" charset="0"/>
                        <a:ea typeface="Calibri"/>
                        <a:cs typeface="Arial" panose="020B0604020202020204" pitchFamily="34" charset="0"/>
                      </a:defRPr>
                    </a:pPr>
                    <a:r>
                      <a:rPr lang="en-US" b="1">
                        <a:solidFill>
                          <a:sysClr val="windowText" lastClr="000000"/>
                        </a:solidFill>
                        <a:latin typeface="Arial" panose="020B0604020202020204" pitchFamily="34" charset="0"/>
                        <a:cs typeface="Arial" panose="020B0604020202020204" pitchFamily="34" charset="0"/>
                      </a:rPr>
                      <a:t>20,3ab</a:t>
                    </a:r>
                  </a:p>
                </c:rich>
              </c:tx>
              <c:spPr>
                <a:noFill/>
                <a:ln w="25266">
                  <a:noFill/>
                </a:ln>
              </c:spPr>
              <c:dLblPos val="t"/>
              <c:showLegendKey val="0"/>
              <c:showVal val="0"/>
              <c:showCatName val="0"/>
              <c:showSerName val="0"/>
              <c:showPercent val="0"/>
              <c:showBubbleSize val="0"/>
              <c:extLst>
                <c:ext xmlns:c15="http://schemas.microsoft.com/office/drawing/2012/chart" uri="{CE6537A1-D6FC-4f65-9D91-7224C49458BB}"/>
              </c:extLst>
            </c:dLbl>
            <c:dLbl>
              <c:idx val="1"/>
              <c:tx>
                <c:rich>
                  <a:bodyPr/>
                  <a:lstStyle/>
                  <a:p>
                    <a:pPr>
                      <a:defRPr sz="895" b="1" i="0" u="none" strike="noStrike" baseline="0">
                        <a:solidFill>
                          <a:sysClr val="windowText" lastClr="000000"/>
                        </a:solidFill>
                        <a:latin typeface="Arial" panose="020B0604020202020204" pitchFamily="34" charset="0"/>
                        <a:ea typeface="Calibri"/>
                        <a:cs typeface="Arial" panose="020B0604020202020204" pitchFamily="34" charset="0"/>
                      </a:defRPr>
                    </a:pPr>
                    <a:r>
                      <a:rPr lang="en-US" b="1">
                        <a:solidFill>
                          <a:sysClr val="windowText" lastClr="000000"/>
                        </a:solidFill>
                        <a:latin typeface="Arial" panose="020B0604020202020204" pitchFamily="34" charset="0"/>
                        <a:cs typeface="Arial" panose="020B0604020202020204" pitchFamily="34" charset="0"/>
                      </a:rPr>
                      <a:t>20,6 a</a:t>
                    </a:r>
                  </a:p>
                </c:rich>
              </c:tx>
              <c:spPr>
                <a:noFill/>
                <a:ln w="25266">
                  <a:noFill/>
                </a:ln>
              </c:spPr>
              <c:dLblPos val="t"/>
              <c:showLegendKey val="0"/>
              <c:showVal val="0"/>
              <c:showCatName val="0"/>
              <c:showSerName val="0"/>
              <c:showPercent val="0"/>
              <c:showBubbleSize val="0"/>
              <c:extLst>
                <c:ext xmlns:c15="http://schemas.microsoft.com/office/drawing/2012/chart" uri="{CE6537A1-D6FC-4f65-9D91-7224C49458BB}"/>
              </c:extLst>
            </c:dLbl>
            <c:dLbl>
              <c:idx val="2"/>
              <c:tx>
                <c:rich>
                  <a:bodyPr/>
                  <a:lstStyle/>
                  <a:p>
                    <a:pPr>
                      <a:defRPr sz="895" b="1" i="0" u="none" strike="noStrike" baseline="0">
                        <a:solidFill>
                          <a:sysClr val="windowText" lastClr="000000"/>
                        </a:solidFill>
                        <a:latin typeface="Arial" panose="020B0604020202020204" pitchFamily="34" charset="0"/>
                        <a:ea typeface="Calibri"/>
                        <a:cs typeface="Arial" panose="020B0604020202020204" pitchFamily="34" charset="0"/>
                      </a:defRPr>
                    </a:pPr>
                    <a:r>
                      <a:rPr lang="en-US" b="1">
                        <a:solidFill>
                          <a:sysClr val="windowText" lastClr="000000"/>
                        </a:solidFill>
                        <a:latin typeface="Arial" panose="020B0604020202020204" pitchFamily="34" charset="0"/>
                        <a:cs typeface="Arial" panose="020B0604020202020204" pitchFamily="34" charset="0"/>
                      </a:rPr>
                      <a:t>18,5 b</a:t>
                    </a:r>
                  </a:p>
                </c:rich>
              </c:tx>
              <c:spPr>
                <a:noFill/>
                <a:ln w="25266">
                  <a:noFill/>
                </a:ln>
              </c:spPr>
              <c:dLblPos val="t"/>
              <c:showLegendKey val="0"/>
              <c:showVal val="0"/>
              <c:showCatName val="0"/>
              <c:showSerName val="0"/>
              <c:showPercent val="0"/>
              <c:showBubbleSize val="0"/>
              <c:extLst>
                <c:ext xmlns:c15="http://schemas.microsoft.com/office/drawing/2012/chart" uri="{CE6537A1-D6FC-4f65-9D91-7224C49458BB}"/>
              </c:extLst>
            </c:dLbl>
            <c:spPr>
              <a:noFill/>
              <a:ln w="25266">
                <a:noFill/>
              </a:ln>
            </c:spPr>
            <c:txPr>
              <a:bodyPr wrap="square" lIns="38100" tIns="19050" rIns="38100" bIns="19050" anchor="ctr">
                <a:spAutoFit/>
              </a:bodyPr>
              <a:lstStyle/>
              <a:p>
                <a:pPr>
                  <a:defRPr sz="895" b="1" i="0" u="none" strike="noStrike" baseline="0">
                    <a:solidFill>
                      <a:sysClr val="windowText" lastClr="000000"/>
                    </a:solidFill>
                    <a:latin typeface="Arial" panose="020B0604020202020204" pitchFamily="34" charset="0"/>
                    <a:ea typeface="Calibri"/>
                    <a:cs typeface="Arial" panose="020B0604020202020204" pitchFamily="34" charset="0"/>
                  </a:defRPr>
                </a:pPr>
                <a:endParaRPr lang="es-E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Hoja1!$A$2:$A$4</c:f>
              <c:strCache>
                <c:ptCount val="3"/>
                <c:pt idx="0">
                  <c:v>1,60m</c:v>
                </c:pt>
                <c:pt idx="1">
                  <c:v>1,40m</c:v>
                </c:pt>
                <c:pt idx="2">
                  <c:v>Base ancha</c:v>
                </c:pt>
              </c:strCache>
            </c:strRef>
          </c:cat>
          <c:val>
            <c:numRef>
              <c:f>Hoja1!$C$2:$C$4</c:f>
              <c:numCache>
                <c:formatCode>General</c:formatCode>
                <c:ptCount val="3"/>
                <c:pt idx="0">
                  <c:v>20.3</c:v>
                </c:pt>
                <c:pt idx="1">
                  <c:v>20.6</c:v>
                </c:pt>
                <c:pt idx="2">
                  <c:v>18.5</c:v>
                </c:pt>
              </c:numCache>
            </c:numRef>
          </c:val>
          <c:smooth val="0"/>
        </c:ser>
        <c:dLbls>
          <c:showLegendKey val="0"/>
          <c:showVal val="0"/>
          <c:showCatName val="0"/>
          <c:showSerName val="0"/>
          <c:showPercent val="0"/>
          <c:showBubbleSize val="0"/>
        </c:dLbls>
        <c:smooth val="0"/>
        <c:axId val="1646542320"/>
        <c:axId val="1646530352"/>
      </c:lineChart>
      <c:catAx>
        <c:axId val="1646542320"/>
        <c:scaling>
          <c:orientation val="minMax"/>
        </c:scaling>
        <c:delete val="0"/>
        <c:axPos val="b"/>
        <c:title>
          <c:tx>
            <c:rich>
              <a:bodyPr/>
              <a:lstStyle/>
              <a:p>
                <a:pPr>
                  <a:defRPr sz="990" b="0" i="0" u="none" strike="noStrike" baseline="0">
                    <a:solidFill>
                      <a:srgbClr val="000000"/>
                    </a:solidFill>
                    <a:latin typeface="Calibri"/>
                    <a:ea typeface="Calibri"/>
                    <a:cs typeface="Calibri"/>
                  </a:defRPr>
                </a:pPr>
                <a:r>
                  <a:rPr lang="es-ES" sz="995" b="0" i="0" u="none" strike="noStrike" baseline="0">
                    <a:solidFill>
                      <a:srgbClr val="333333"/>
                    </a:solidFill>
                    <a:latin typeface="Calibri"/>
                    <a:cs typeface="Calibri"/>
                  </a:rPr>
                  <a:t>(a,b,c) medias con letras no comunes difieren por LSD para p ≤ 0,05</a:t>
                </a:r>
              </a:p>
              <a:p>
                <a:pPr>
                  <a:defRPr sz="990" b="0" i="0" u="none" strike="noStrike" baseline="0">
                    <a:solidFill>
                      <a:srgbClr val="000000"/>
                    </a:solidFill>
                    <a:latin typeface="Calibri"/>
                    <a:ea typeface="Calibri"/>
                    <a:cs typeface="Calibri"/>
                  </a:defRPr>
                </a:pPr>
                <a:r>
                  <a:rPr lang="es-ES" sz="995" b="0" i="0" u="none" strike="noStrike" baseline="0">
                    <a:solidFill>
                      <a:srgbClr val="333333"/>
                    </a:solidFill>
                    <a:latin typeface="Calibri"/>
                    <a:cs typeface="Calibri"/>
                  </a:rPr>
                  <a:t>ddp: días después de plantada </a:t>
                </a:r>
              </a:p>
            </c:rich>
          </c:tx>
          <c:layout>
            <c:manualLayout>
              <c:xMode val="edge"/>
              <c:yMode val="edge"/>
              <c:x val="0.17266764961152761"/>
              <c:y val="0.82435596493834495"/>
            </c:manualLayout>
          </c:layout>
          <c:overlay val="0"/>
          <c:spPr>
            <a:noFill/>
            <a:ln w="25266">
              <a:noFill/>
            </a:ln>
          </c:spPr>
        </c:title>
        <c:numFmt formatCode="General" sourceLinked="1"/>
        <c:majorTickMark val="none"/>
        <c:minorTickMark val="none"/>
        <c:tickLblPos val="nextTo"/>
        <c:spPr>
          <a:noFill/>
          <a:ln w="9475" cap="flat" cmpd="sng" algn="ctr">
            <a:solidFill>
              <a:sysClr val="windowText" lastClr="000000"/>
            </a:solidFill>
            <a:round/>
          </a:ln>
          <a:effectLst/>
        </c:spPr>
        <c:txPr>
          <a:bodyPr rot="0" vert="horz"/>
          <a:lstStyle/>
          <a:p>
            <a:pPr>
              <a:defRPr sz="895" b="1" i="0" u="none" strike="noStrike" baseline="0">
                <a:solidFill>
                  <a:sysClr val="windowText" lastClr="000000"/>
                </a:solidFill>
                <a:latin typeface="Arial" panose="020B0604020202020204" pitchFamily="34" charset="0"/>
                <a:ea typeface="Calibri"/>
                <a:cs typeface="Arial" panose="020B0604020202020204" pitchFamily="34" charset="0"/>
              </a:defRPr>
            </a:pPr>
            <a:endParaRPr lang="es-ES"/>
          </a:p>
        </c:txPr>
        <c:crossAx val="1646530352"/>
        <c:crosses val="autoZero"/>
        <c:auto val="1"/>
        <c:lblAlgn val="ctr"/>
        <c:lblOffset val="100"/>
        <c:noMultiLvlLbl val="0"/>
      </c:catAx>
      <c:valAx>
        <c:axId val="1646530352"/>
        <c:scaling>
          <c:orientation val="minMax"/>
        </c:scaling>
        <c:delete val="0"/>
        <c:axPos val="l"/>
        <c:title>
          <c:tx>
            <c:rich>
              <a:bodyPr/>
              <a:lstStyle/>
              <a:p>
                <a:pPr>
                  <a:defRPr sz="995" b="0" i="0" u="none" strike="noStrike" baseline="0">
                    <a:solidFill>
                      <a:srgbClr val="333333"/>
                    </a:solidFill>
                    <a:latin typeface="Calibri"/>
                    <a:ea typeface="Calibri"/>
                    <a:cs typeface="Calibri"/>
                  </a:defRPr>
                </a:pPr>
                <a:r>
                  <a:rPr lang="es-ES">
                    <a:solidFill>
                      <a:sysClr val="windowText" lastClr="000000"/>
                    </a:solidFill>
                  </a:rPr>
                  <a:t>No. de entrenudos</a:t>
                </a:r>
              </a:p>
            </c:rich>
          </c:tx>
          <c:overlay val="0"/>
          <c:spPr>
            <a:noFill/>
            <a:ln w="25266">
              <a:noFill/>
            </a:ln>
          </c:spPr>
        </c:title>
        <c:numFmt formatCode="General" sourceLinked="1"/>
        <c:majorTickMark val="none"/>
        <c:minorTickMark val="none"/>
        <c:tickLblPos val="nextTo"/>
        <c:spPr>
          <a:ln w="6316">
            <a:solidFill>
              <a:sysClr val="windowText" lastClr="000000"/>
            </a:solidFill>
          </a:ln>
        </c:spPr>
        <c:txPr>
          <a:bodyPr rot="0" vert="horz"/>
          <a:lstStyle/>
          <a:p>
            <a:pPr>
              <a:defRPr sz="895" b="0" i="0" u="none" strike="noStrike" baseline="0">
                <a:solidFill>
                  <a:sysClr val="windowText" lastClr="000000"/>
                </a:solidFill>
                <a:latin typeface="Calibri"/>
                <a:ea typeface="Calibri"/>
                <a:cs typeface="Calibri"/>
              </a:defRPr>
            </a:pPr>
            <a:endParaRPr lang="es-ES"/>
          </a:p>
        </c:txPr>
        <c:crossAx val="1646542320"/>
        <c:crosses val="autoZero"/>
        <c:crossBetween val="between"/>
      </c:valAx>
      <c:spPr>
        <a:noFill/>
        <a:ln w="25266">
          <a:noFill/>
        </a:ln>
      </c:spPr>
    </c:plotArea>
    <c:legend>
      <c:legendPos val="t"/>
      <c:overlay val="0"/>
      <c:spPr>
        <a:noFill/>
        <a:ln w="25266">
          <a:noFill/>
        </a:ln>
      </c:spPr>
      <c:txPr>
        <a:bodyPr/>
        <a:lstStyle/>
        <a:p>
          <a:pPr>
            <a:defRPr sz="821" b="0" i="0" u="none" strike="noStrike" baseline="0">
              <a:solidFill>
                <a:srgbClr val="333333"/>
              </a:solidFill>
              <a:latin typeface="Calibri"/>
              <a:ea typeface="Calibri"/>
              <a:cs typeface="Calibri"/>
            </a:defRPr>
          </a:pPr>
          <a:endParaRPr lang="es-ES"/>
        </a:p>
      </c:txPr>
    </c:legend>
    <c:plotVisOnly val="1"/>
    <c:dispBlanksAs val="gap"/>
    <c:showDLblsOverMax val="0"/>
  </c:chart>
  <c:spPr>
    <a:solidFill>
      <a:schemeClr val="bg1"/>
    </a:solidFill>
    <a:ln>
      <a:noFill/>
    </a:ln>
    <a:effectLst/>
  </c:spPr>
  <c:txPr>
    <a:bodyPr/>
    <a:lstStyle/>
    <a:p>
      <a:pPr>
        <a:defRPr sz="995" b="0" i="0" u="none" strike="noStrike" baseline="0">
          <a:solidFill>
            <a:srgbClr val="000000"/>
          </a:solidFill>
          <a:latin typeface="Calibri"/>
          <a:ea typeface="Calibri"/>
          <a:cs typeface="Calibri"/>
        </a:defRPr>
      </a:pPr>
      <a:endParaRPr lang="es-E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Hoja1!$B$1</c:f>
              <c:strCache>
                <c:ptCount val="1"/>
                <c:pt idx="0">
                  <c:v>Largo entrenudos 146 ddp</c:v>
                </c:pt>
              </c:strCache>
            </c:strRef>
          </c:tx>
          <c:spPr>
            <a:solidFill>
              <a:srgbClr val="92D050"/>
            </a:solidFill>
            <a:ln w="25400">
              <a:noFill/>
            </a:ln>
          </c:spPr>
          <c:invertIfNegative val="0"/>
          <c:dPt>
            <c:idx val="0"/>
            <c:invertIfNegative val="0"/>
            <c:bubble3D val="0"/>
            <c:spPr>
              <a:solidFill>
                <a:srgbClr val="00FF00"/>
              </a:solidFill>
              <a:ln w="25400">
                <a:noFill/>
              </a:ln>
            </c:spPr>
          </c:dPt>
          <c:dPt>
            <c:idx val="1"/>
            <c:invertIfNegative val="0"/>
            <c:bubble3D val="0"/>
            <c:spPr>
              <a:solidFill>
                <a:srgbClr val="00FF00"/>
              </a:solidFill>
              <a:ln w="25400">
                <a:noFill/>
              </a:ln>
            </c:spPr>
          </c:dPt>
          <c:dPt>
            <c:idx val="2"/>
            <c:invertIfNegative val="0"/>
            <c:bubble3D val="0"/>
            <c:spPr>
              <a:solidFill>
                <a:srgbClr val="00FF00"/>
              </a:solidFill>
              <a:ln w="25400">
                <a:noFill/>
              </a:ln>
            </c:spPr>
          </c:dPt>
          <c:dLbls>
            <c:dLbl>
              <c:idx val="0"/>
              <c:tx>
                <c:rich>
                  <a:bodyPr/>
                  <a:lstStyle/>
                  <a:p>
                    <a:pPr>
                      <a:defRPr sz="900" b="0" i="0" u="none" strike="noStrike" baseline="0">
                        <a:solidFill>
                          <a:srgbClr val="333333"/>
                        </a:solidFill>
                        <a:latin typeface="Calibri"/>
                        <a:ea typeface="Calibri"/>
                        <a:cs typeface="Calibri"/>
                      </a:defRPr>
                    </a:pPr>
                    <a:r>
                      <a:rPr lang="en-US"/>
                      <a:t>16,6</a:t>
                    </a:r>
                  </a:p>
                </c:rich>
              </c:tx>
              <c:spPr>
                <a:noFill/>
                <a:ln w="25400">
                  <a:noFill/>
                </a:ln>
              </c:spPr>
              <c:dLblPos val="outEnd"/>
              <c:showLegendKey val="0"/>
              <c:showVal val="0"/>
              <c:showCatName val="0"/>
              <c:showSerName val="0"/>
              <c:showPercent val="0"/>
              <c:showBubbleSize val="0"/>
              <c:extLst>
                <c:ext xmlns:c15="http://schemas.microsoft.com/office/drawing/2012/chart" uri="{CE6537A1-D6FC-4f65-9D91-7224C49458BB}"/>
              </c:extLst>
            </c:dLbl>
            <c:dLbl>
              <c:idx val="1"/>
              <c:tx>
                <c:rich>
                  <a:bodyPr/>
                  <a:lstStyle/>
                  <a:p>
                    <a:pPr>
                      <a:defRPr sz="900" b="0" i="0" u="none" strike="noStrike" baseline="0">
                        <a:solidFill>
                          <a:srgbClr val="333333"/>
                        </a:solidFill>
                        <a:latin typeface="Calibri"/>
                        <a:ea typeface="Calibri"/>
                        <a:cs typeface="Calibri"/>
                      </a:defRPr>
                    </a:pPr>
                    <a:r>
                      <a:rPr lang="en-US"/>
                      <a:t>16,5 </a:t>
                    </a:r>
                  </a:p>
                </c:rich>
              </c:tx>
              <c:spPr>
                <a:noFill/>
                <a:ln w="25400">
                  <a:noFill/>
                </a:ln>
              </c:spPr>
              <c:dLblPos val="outEnd"/>
              <c:showLegendKey val="0"/>
              <c:showVal val="0"/>
              <c:showCatName val="0"/>
              <c:showSerName val="0"/>
              <c:showPercent val="0"/>
              <c:showBubbleSize val="0"/>
              <c:extLst>
                <c:ext xmlns:c15="http://schemas.microsoft.com/office/drawing/2012/chart" uri="{CE6537A1-D6FC-4f65-9D91-7224C49458BB}"/>
              </c:extLst>
            </c:dLbl>
            <c:dLbl>
              <c:idx val="2"/>
              <c:tx>
                <c:rich>
                  <a:bodyPr/>
                  <a:lstStyle/>
                  <a:p>
                    <a:pPr>
                      <a:defRPr sz="900" b="0" i="0" u="none" strike="noStrike" baseline="0">
                        <a:solidFill>
                          <a:srgbClr val="333333"/>
                        </a:solidFill>
                        <a:latin typeface="Calibri"/>
                        <a:ea typeface="Calibri"/>
                        <a:cs typeface="Calibri"/>
                      </a:defRPr>
                    </a:pPr>
                    <a:r>
                      <a:rPr lang="en-US"/>
                      <a:t>16,7</a:t>
                    </a:r>
                  </a:p>
                </c:rich>
              </c:tx>
              <c:spPr>
                <a:noFill/>
                <a:ln w="25400">
                  <a:noFill/>
                </a:ln>
              </c:spPr>
              <c:dLblPos val="outEnd"/>
              <c:showLegendKey val="0"/>
              <c:showVal val="0"/>
              <c:showCatName val="0"/>
              <c:showSerName val="0"/>
              <c:showPercent val="0"/>
              <c:showBubbleSize val="0"/>
              <c:extLst>
                <c:ext xmlns:c15="http://schemas.microsoft.com/office/drawing/2012/chart" uri="{CE6537A1-D6FC-4f65-9D91-7224C49458BB}"/>
              </c:extLst>
            </c:dLbl>
            <c:spPr>
              <a:noFill/>
              <a:ln w="25400">
                <a:noFill/>
              </a:ln>
            </c:spPr>
            <c:txPr>
              <a:bodyPr wrap="square" lIns="38100" tIns="19050" rIns="38100" bIns="19050" anchor="ctr">
                <a:spAutoFit/>
              </a:bodyPr>
              <a:lstStyle/>
              <a:p>
                <a:pPr>
                  <a:defRPr sz="900" b="0" i="0" u="none" strike="noStrike" baseline="0">
                    <a:solidFill>
                      <a:srgbClr val="333333"/>
                    </a:solidFill>
                    <a:latin typeface="Calibri"/>
                    <a:ea typeface="Calibri"/>
                    <a:cs typeface="Calibri"/>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Hoja1!$A$2:$A$4</c:f>
              <c:strCache>
                <c:ptCount val="3"/>
                <c:pt idx="0">
                  <c:v>1,60m</c:v>
                </c:pt>
                <c:pt idx="1">
                  <c:v>1,40m</c:v>
                </c:pt>
                <c:pt idx="2">
                  <c:v>Base ancha</c:v>
                </c:pt>
              </c:strCache>
            </c:strRef>
          </c:cat>
          <c:val>
            <c:numRef>
              <c:f>Hoja1!$B$2:$B$4</c:f>
              <c:numCache>
                <c:formatCode>General</c:formatCode>
                <c:ptCount val="3"/>
                <c:pt idx="0">
                  <c:v>16.600000000000001</c:v>
                </c:pt>
                <c:pt idx="1">
                  <c:v>16.5</c:v>
                </c:pt>
                <c:pt idx="2">
                  <c:v>16.7</c:v>
                </c:pt>
              </c:numCache>
            </c:numRef>
          </c:val>
        </c:ser>
        <c:ser>
          <c:idx val="1"/>
          <c:order val="1"/>
          <c:tx>
            <c:strRef>
              <c:f>Hoja1!$C$1</c:f>
              <c:strCache>
                <c:ptCount val="1"/>
                <c:pt idx="0">
                  <c:v>Largo  entrenudos 259 ddp</c:v>
                </c:pt>
              </c:strCache>
            </c:strRef>
          </c:tx>
          <c:spPr>
            <a:solidFill>
              <a:srgbClr val="00B050"/>
            </a:solidFill>
            <a:ln w="25400">
              <a:noFill/>
            </a:ln>
          </c:spPr>
          <c:invertIfNegative val="0"/>
          <c:dLbls>
            <c:dLbl>
              <c:idx val="0"/>
              <c:tx>
                <c:rich>
                  <a:bodyPr/>
                  <a:lstStyle/>
                  <a:p>
                    <a:pPr>
                      <a:defRPr sz="900" b="0" i="0" u="none" strike="noStrike" baseline="0">
                        <a:solidFill>
                          <a:srgbClr val="333333"/>
                        </a:solidFill>
                        <a:latin typeface="Calibri"/>
                        <a:ea typeface="Calibri"/>
                        <a:cs typeface="Calibri"/>
                      </a:defRPr>
                    </a:pPr>
                    <a:r>
                      <a:rPr lang="en-US"/>
                      <a:t>18,4 </a:t>
                    </a:r>
                  </a:p>
                </c:rich>
              </c:tx>
              <c:spPr>
                <a:noFill/>
                <a:ln w="25400">
                  <a:noFill/>
                </a:ln>
              </c:spPr>
              <c:dLblPos val="outEnd"/>
              <c:showLegendKey val="0"/>
              <c:showVal val="0"/>
              <c:showCatName val="0"/>
              <c:showSerName val="0"/>
              <c:showPercent val="0"/>
              <c:showBubbleSize val="0"/>
              <c:extLst>
                <c:ext xmlns:c15="http://schemas.microsoft.com/office/drawing/2012/chart" uri="{CE6537A1-D6FC-4f65-9D91-7224C49458BB}"/>
              </c:extLst>
            </c:dLbl>
            <c:dLbl>
              <c:idx val="1"/>
              <c:tx>
                <c:rich>
                  <a:bodyPr/>
                  <a:lstStyle/>
                  <a:p>
                    <a:pPr>
                      <a:defRPr sz="900" b="0" i="0" u="none" strike="noStrike" baseline="0">
                        <a:solidFill>
                          <a:srgbClr val="333333"/>
                        </a:solidFill>
                        <a:latin typeface="Calibri"/>
                        <a:ea typeface="Calibri"/>
                        <a:cs typeface="Calibri"/>
                      </a:defRPr>
                    </a:pPr>
                    <a:r>
                      <a:rPr lang="en-US"/>
                      <a:t>16,7</a:t>
                    </a:r>
                  </a:p>
                </c:rich>
              </c:tx>
              <c:spPr>
                <a:noFill/>
                <a:ln w="25400">
                  <a:noFill/>
                </a:ln>
              </c:spPr>
              <c:dLblPos val="outEnd"/>
              <c:showLegendKey val="0"/>
              <c:showVal val="0"/>
              <c:showCatName val="0"/>
              <c:showSerName val="0"/>
              <c:showPercent val="0"/>
              <c:showBubbleSize val="0"/>
              <c:extLst>
                <c:ext xmlns:c15="http://schemas.microsoft.com/office/drawing/2012/chart" uri="{CE6537A1-D6FC-4f65-9D91-7224C49458BB}"/>
              </c:extLst>
            </c:dLbl>
            <c:dLbl>
              <c:idx val="2"/>
              <c:tx>
                <c:rich>
                  <a:bodyPr/>
                  <a:lstStyle/>
                  <a:p>
                    <a:pPr>
                      <a:defRPr sz="900" b="0" i="0" u="none" strike="noStrike" baseline="0">
                        <a:solidFill>
                          <a:srgbClr val="333333"/>
                        </a:solidFill>
                        <a:latin typeface="Calibri"/>
                        <a:ea typeface="Calibri"/>
                        <a:cs typeface="Calibri"/>
                      </a:defRPr>
                    </a:pPr>
                    <a:r>
                      <a:rPr lang="en-US"/>
                      <a:t>17,4 </a:t>
                    </a:r>
                  </a:p>
                </c:rich>
              </c:tx>
              <c:spPr>
                <a:noFill/>
                <a:ln w="25400">
                  <a:noFill/>
                </a:ln>
              </c:spPr>
              <c:dLblPos val="outEnd"/>
              <c:showLegendKey val="0"/>
              <c:showVal val="0"/>
              <c:showCatName val="0"/>
              <c:showSerName val="0"/>
              <c:showPercent val="0"/>
              <c:showBubbleSize val="0"/>
              <c:extLst>
                <c:ext xmlns:c15="http://schemas.microsoft.com/office/drawing/2012/chart" uri="{CE6537A1-D6FC-4f65-9D91-7224C49458BB}"/>
              </c:extLst>
            </c:dLbl>
            <c:spPr>
              <a:noFill/>
              <a:ln w="25400">
                <a:noFill/>
              </a:ln>
            </c:spPr>
            <c:txPr>
              <a:bodyPr wrap="square" lIns="38100" tIns="19050" rIns="38100" bIns="19050" anchor="ctr">
                <a:spAutoFit/>
              </a:bodyPr>
              <a:lstStyle/>
              <a:p>
                <a:pPr>
                  <a:defRPr sz="900" b="0" i="0" u="none" strike="noStrike" baseline="0">
                    <a:solidFill>
                      <a:srgbClr val="333333"/>
                    </a:solidFill>
                    <a:latin typeface="Calibri"/>
                    <a:ea typeface="Calibri"/>
                    <a:cs typeface="Calibri"/>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Hoja1!$A$2:$A$4</c:f>
              <c:strCache>
                <c:ptCount val="3"/>
                <c:pt idx="0">
                  <c:v>1,60m</c:v>
                </c:pt>
                <c:pt idx="1">
                  <c:v>1,40m</c:v>
                </c:pt>
                <c:pt idx="2">
                  <c:v>Base ancha</c:v>
                </c:pt>
              </c:strCache>
            </c:strRef>
          </c:cat>
          <c:val>
            <c:numRef>
              <c:f>Hoja1!$C$2:$C$4</c:f>
              <c:numCache>
                <c:formatCode>General</c:formatCode>
                <c:ptCount val="3"/>
                <c:pt idx="0">
                  <c:v>18.399999999999999</c:v>
                </c:pt>
                <c:pt idx="1">
                  <c:v>16.7</c:v>
                </c:pt>
                <c:pt idx="2">
                  <c:v>17.399999999999999</c:v>
                </c:pt>
              </c:numCache>
            </c:numRef>
          </c:val>
        </c:ser>
        <c:dLbls>
          <c:showLegendKey val="0"/>
          <c:showVal val="0"/>
          <c:showCatName val="0"/>
          <c:showSerName val="0"/>
          <c:showPercent val="0"/>
          <c:showBubbleSize val="0"/>
        </c:dLbls>
        <c:gapWidth val="219"/>
        <c:overlap val="-27"/>
        <c:axId val="1646533616"/>
        <c:axId val="1646535248"/>
      </c:barChart>
      <c:catAx>
        <c:axId val="1646533616"/>
        <c:scaling>
          <c:orientation val="minMax"/>
        </c:scaling>
        <c:delete val="0"/>
        <c:axPos val="b"/>
        <c:title>
          <c:tx>
            <c:rich>
              <a:bodyPr/>
              <a:lstStyle/>
              <a:p>
                <a:pPr>
                  <a:defRPr sz="1100" b="0" i="0" u="none" strike="noStrike" baseline="0">
                    <a:solidFill>
                      <a:srgbClr val="333333"/>
                    </a:solidFill>
                    <a:latin typeface="Calibri"/>
                    <a:ea typeface="Calibri"/>
                    <a:cs typeface="Calibri"/>
                  </a:defRPr>
                </a:pPr>
                <a:r>
                  <a:rPr lang="es-ES"/>
                  <a:t>ddp: días después de plantada</a:t>
                </a:r>
              </a:p>
            </c:rich>
          </c:tx>
          <c:layout>
            <c:manualLayout>
              <c:xMode val="edge"/>
              <c:yMode val="edge"/>
              <c:x val="0.33845867691735387"/>
              <c:y val="0.92637935339289079"/>
            </c:manualLayout>
          </c:layout>
          <c:overlay val="0"/>
          <c:spPr>
            <a:noFill/>
            <a:ln w="25400">
              <a:noFill/>
            </a:ln>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0" vert="horz"/>
          <a:lstStyle/>
          <a:p>
            <a:pPr>
              <a:defRPr sz="900" b="0" i="0" u="none" strike="noStrike" baseline="0">
                <a:solidFill>
                  <a:srgbClr val="333333"/>
                </a:solidFill>
                <a:latin typeface="Calibri"/>
                <a:ea typeface="Calibri"/>
                <a:cs typeface="Calibri"/>
              </a:defRPr>
            </a:pPr>
            <a:endParaRPr lang="es-ES"/>
          </a:p>
        </c:txPr>
        <c:crossAx val="1646535248"/>
        <c:crosses val="autoZero"/>
        <c:auto val="1"/>
        <c:lblAlgn val="ctr"/>
        <c:lblOffset val="100"/>
        <c:noMultiLvlLbl val="0"/>
      </c:catAx>
      <c:valAx>
        <c:axId val="1646535248"/>
        <c:scaling>
          <c:orientation val="minMax"/>
        </c:scaling>
        <c:delete val="0"/>
        <c:axPos val="l"/>
        <c:title>
          <c:tx>
            <c:rich>
              <a:bodyPr/>
              <a:lstStyle/>
              <a:p>
                <a:pPr>
                  <a:defRPr sz="1000" b="0" i="0" u="none" strike="noStrike" baseline="0">
                    <a:solidFill>
                      <a:srgbClr val="333333"/>
                    </a:solidFill>
                    <a:latin typeface="Calibri"/>
                    <a:ea typeface="Calibri"/>
                    <a:cs typeface="Calibri"/>
                  </a:defRPr>
                </a:pPr>
                <a:r>
                  <a:rPr lang="es-ES"/>
                  <a:t>Longitud (cm)</a:t>
                </a:r>
              </a:p>
            </c:rich>
          </c:tx>
          <c:overlay val="0"/>
          <c:spPr>
            <a:noFill/>
            <a:ln w="25400">
              <a:noFill/>
            </a:ln>
          </c:spPr>
        </c:title>
        <c:numFmt formatCode="General" sourceLinked="1"/>
        <c:majorTickMark val="none"/>
        <c:minorTickMark val="none"/>
        <c:tickLblPos val="nextTo"/>
        <c:spPr>
          <a:ln w="6350">
            <a:solidFill>
              <a:sysClr val="windowText" lastClr="000000"/>
            </a:solidFill>
          </a:ln>
        </c:spPr>
        <c:txPr>
          <a:bodyPr rot="0" vert="horz"/>
          <a:lstStyle/>
          <a:p>
            <a:pPr>
              <a:defRPr sz="900" b="0" i="0" u="none" strike="noStrike" baseline="0">
                <a:solidFill>
                  <a:srgbClr val="333333"/>
                </a:solidFill>
                <a:latin typeface="Calibri"/>
                <a:ea typeface="Calibri"/>
                <a:cs typeface="Calibri"/>
              </a:defRPr>
            </a:pPr>
            <a:endParaRPr lang="es-ES"/>
          </a:p>
        </c:txPr>
        <c:crossAx val="1646533616"/>
        <c:crosses val="autoZero"/>
        <c:crossBetween val="between"/>
      </c:valAx>
      <c:spPr>
        <a:noFill/>
        <a:ln w="25400">
          <a:noFill/>
        </a:ln>
      </c:spPr>
    </c:plotArea>
    <c:legend>
      <c:legendPos val="t"/>
      <c:overlay val="0"/>
      <c:spPr>
        <a:noFill/>
        <a:ln w="25400">
          <a:noFill/>
        </a:ln>
      </c:spPr>
      <c:txPr>
        <a:bodyPr/>
        <a:lstStyle/>
        <a:p>
          <a:pPr>
            <a:defRPr sz="825" b="0" i="0" u="none" strike="noStrike" baseline="0">
              <a:solidFill>
                <a:srgbClr val="333333"/>
              </a:solidFill>
              <a:latin typeface="Calibri"/>
              <a:ea typeface="Calibri"/>
              <a:cs typeface="Calibri"/>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b="0" i="0" u="none" strike="noStrike" baseline="0">
          <a:solidFill>
            <a:srgbClr val="000000"/>
          </a:solidFill>
          <a:latin typeface="Calibri"/>
          <a:ea typeface="Calibri"/>
          <a:cs typeface="Calibri"/>
        </a:defRPr>
      </a:pPr>
      <a:endParaRPr lang="es-ES"/>
    </a:p>
  </c:txPr>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0</TotalTime>
  <Pages>15</Pages>
  <Words>4070</Words>
  <Characters>22385</Characters>
  <Application>Microsoft Office Word</Application>
  <DocSecurity>0</DocSecurity>
  <Lines>186</Lines>
  <Paragraphs>52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26403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Nadya</dc:creator>
  <cp:lastModifiedBy>Isbel Rodriguez Seijo</cp:lastModifiedBy>
  <cp:revision>2</cp:revision>
  <cp:lastPrinted>2017-03-02T19:45:00Z</cp:lastPrinted>
  <dcterms:created xsi:type="dcterms:W3CDTF">2020-01-16T14:34:00Z</dcterms:created>
  <dcterms:modified xsi:type="dcterms:W3CDTF">2020-01-16T14:34:00Z</dcterms:modified>
</cp:coreProperties>
</file>